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01EF" w14:textId="77777777" w:rsidR="00826822" w:rsidRDefault="00522397">
      <w:pP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EL SECRETARIO DISTRITAL DE MOVILIDAD </w:t>
      </w:r>
    </w:p>
    <w:p w14:paraId="095B0CB0" w14:textId="77777777" w:rsidR="00826822" w:rsidRDefault="00826822">
      <w:pPr>
        <w:spacing w:line="240" w:lineRule="auto"/>
        <w:jc w:val="center"/>
        <w:rPr>
          <w:rFonts w:ascii="Times New Roman" w:eastAsia="Times New Roman" w:hAnsi="Times New Roman" w:cs="Times New Roman"/>
        </w:rPr>
      </w:pPr>
    </w:p>
    <w:p w14:paraId="05026DC5" w14:textId="77777777" w:rsidR="00826822" w:rsidRDefault="00826822">
      <w:pPr>
        <w:spacing w:line="240" w:lineRule="auto"/>
        <w:jc w:val="center"/>
        <w:rPr>
          <w:rFonts w:ascii="Times New Roman" w:eastAsia="Times New Roman" w:hAnsi="Times New Roman" w:cs="Times New Roman"/>
        </w:rPr>
      </w:pPr>
    </w:p>
    <w:p w14:paraId="4939CA06" w14:textId="77777777" w:rsidR="00826822" w:rsidRDefault="00522397">
      <w:pPr>
        <w:spacing w:line="240" w:lineRule="auto"/>
        <w:jc w:val="center"/>
        <w:rPr>
          <w:rFonts w:ascii="Times New Roman" w:eastAsia="Times New Roman" w:hAnsi="Times New Roman" w:cs="Times New Roman"/>
        </w:rPr>
      </w:pPr>
      <w:r>
        <w:rPr>
          <w:rFonts w:ascii="Times New Roman" w:eastAsia="Times New Roman" w:hAnsi="Times New Roman" w:cs="Times New Roman"/>
        </w:rPr>
        <w:t>En uso de sus atribuciones legales, en especial la prevista en el artículo 8 del Decreto Distrital 519 de 2019 modificado por el artículo 7 de Decreto Distrital 379 de 2021</w:t>
      </w:r>
    </w:p>
    <w:p w14:paraId="49082F81" w14:textId="77777777" w:rsidR="00826822" w:rsidRDefault="00826822">
      <w:pPr>
        <w:keepNext/>
        <w:tabs>
          <w:tab w:val="left" w:pos="645"/>
        </w:tabs>
        <w:spacing w:line="240" w:lineRule="auto"/>
        <w:rPr>
          <w:rFonts w:ascii="Times New Roman" w:eastAsia="Times New Roman" w:hAnsi="Times New Roman" w:cs="Times New Roman"/>
        </w:rPr>
      </w:pPr>
    </w:p>
    <w:p w14:paraId="5A135435" w14:textId="77777777" w:rsidR="00826822" w:rsidRDefault="00522397">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CONSIDERANDO</w:t>
      </w:r>
    </w:p>
    <w:p w14:paraId="3292681F"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Que de conformidad con lo establecido en el artículo 209 de la Consti</w:t>
      </w:r>
      <w:r>
        <w:rPr>
          <w:rFonts w:ascii="Times New Roman" w:eastAsia="Times New Roman" w:hAnsi="Times New Roman" w:cs="Times New Roman"/>
        </w:rPr>
        <w:t>tución Política de Colombia, la función administrativa se debe desarrollar con fundamento en los principios de igualdad, moralidad, eficacia, economía, celeridad, imparcialidad y publicidad.</w:t>
      </w:r>
    </w:p>
    <w:p w14:paraId="35B13232"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Que de conformidad con los artículos 3, 6 y 7 de la Ley 769 de 20</w:t>
      </w:r>
      <w:r>
        <w:rPr>
          <w:rFonts w:ascii="Times New Roman" w:eastAsia="Times New Roman" w:hAnsi="Times New Roman" w:cs="Times New Roman"/>
        </w:rPr>
        <w:t xml:space="preserve">02, la Secretaría Distrital de Movilidad es un organismo de tránsito de carácter municipal, que debe velar por </w:t>
      </w:r>
      <w:r>
        <w:rPr>
          <w:rFonts w:ascii="Times New Roman" w:eastAsia="Times New Roman" w:hAnsi="Times New Roman" w:cs="Times New Roman"/>
          <w:i/>
        </w:rPr>
        <w:t>“la seguridad de las personas y las cosas en la vía pública y privadas abiertas al público. (…)”.</w:t>
      </w:r>
    </w:p>
    <w:p w14:paraId="69DF8632"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 xml:space="preserve">Que el artículo 4 del Acuerdo Distrital 695 de </w:t>
      </w:r>
      <w:r>
        <w:rPr>
          <w:rFonts w:ascii="Times New Roman" w:eastAsia="Times New Roman" w:hAnsi="Times New Roman" w:cs="Times New Roman"/>
        </w:rPr>
        <w:t>2017 “</w:t>
      </w:r>
      <w:r>
        <w:rPr>
          <w:rFonts w:ascii="Times New Roman" w:eastAsia="Times New Roman" w:hAnsi="Times New Roman" w:cs="Times New Roman"/>
          <w:i/>
        </w:rPr>
        <w:t>Por medio del cual se autoriza a la Administración Distrital el cobro de la tasa por el derecho de estacionamiento sobre las vías públicas y se dictan otras disposiciones</w:t>
      </w:r>
      <w:r>
        <w:rPr>
          <w:rFonts w:ascii="Times New Roman" w:eastAsia="Times New Roman" w:hAnsi="Times New Roman" w:cs="Times New Roman"/>
        </w:rPr>
        <w:t xml:space="preserve">”, define los determinantes para el cálculo de tarifa del estacionamiento sobre </w:t>
      </w:r>
      <w:r>
        <w:rPr>
          <w:rFonts w:ascii="Times New Roman" w:eastAsia="Times New Roman" w:hAnsi="Times New Roman" w:cs="Times New Roman"/>
        </w:rPr>
        <w:t>las vías públicas.</w:t>
      </w:r>
    </w:p>
    <w:p w14:paraId="3F2C2ACB" w14:textId="77777777" w:rsidR="00826822" w:rsidRDefault="00522397">
      <w:pPr>
        <w:shd w:val="clear" w:color="FFFFFF" w:fill="FFFFFF"/>
        <w:spacing w:before="240"/>
        <w:jc w:val="both"/>
        <w:rPr>
          <w:rFonts w:ascii="Times New Roman" w:eastAsia="Times New Roman" w:hAnsi="Times New Roman" w:cs="Times New Roman"/>
        </w:rPr>
      </w:pPr>
      <w:r>
        <w:rPr>
          <w:rFonts w:ascii="Times New Roman" w:eastAsia="Times New Roman" w:hAnsi="Times New Roman" w:cs="Times New Roman"/>
        </w:rPr>
        <w:t>Que el Distrito definió la implementación del cobro por estacionamiento en vía pública como uno de los proyectos prioritarios para mejorar la movilidad, gestionar la demanda de transporte, controlar el tráfico de vehículos motorizados, p</w:t>
      </w:r>
      <w:r>
        <w:rPr>
          <w:rFonts w:ascii="Times New Roman" w:eastAsia="Times New Roman" w:hAnsi="Times New Roman" w:cs="Times New Roman"/>
        </w:rPr>
        <w:t>romover el uso adecuado del espacio público y contar con una fuente adicional de ingresos para garantizar la sostenibilidad financiera del Sistema Integrado de Transporte Público (SITP), en los términos del numeral 3 del artículo 97 de la Ley 1955 de 2019.</w:t>
      </w:r>
      <w:r>
        <w:rPr>
          <w:rFonts w:ascii="Times New Roman" w:eastAsia="Times New Roman" w:hAnsi="Times New Roman" w:cs="Times New Roman"/>
        </w:rPr>
        <w:t xml:space="preserve"> Por esta razón, el Plan de Ordenamiento Territorial, el Plan Maestro de Movilidad y el Plan de Desarrollo Distrital contempla este proyecto como uno de los más relevantes para materializar y consolidar la visión y la política de movilidad sostenible en la</w:t>
      </w:r>
      <w:r>
        <w:rPr>
          <w:rFonts w:ascii="Times New Roman" w:eastAsia="Times New Roman" w:hAnsi="Times New Roman" w:cs="Times New Roman"/>
        </w:rPr>
        <w:t xml:space="preserve"> ciudad.</w:t>
      </w:r>
    </w:p>
    <w:p w14:paraId="1C72868A" w14:textId="77777777" w:rsidR="00826822" w:rsidRDefault="00522397">
      <w:pPr>
        <w:shd w:val="clear" w:color="FFFFFF" w:fill="FFFFFF"/>
        <w:spacing w:before="240"/>
        <w:jc w:val="both"/>
        <w:rPr>
          <w:rFonts w:ascii="Times New Roman" w:eastAsia="Times New Roman" w:hAnsi="Times New Roman" w:cs="Times New Roman"/>
        </w:rPr>
      </w:pPr>
      <w:r>
        <w:rPr>
          <w:rFonts w:ascii="Times New Roman" w:eastAsia="Times New Roman" w:hAnsi="Times New Roman" w:cs="Times New Roman"/>
          <w:color w:val="333333"/>
          <w:highlight w:val="white"/>
        </w:rPr>
        <w:t xml:space="preserve">Que el </w:t>
      </w:r>
      <w:r>
        <w:rPr>
          <w:rFonts w:ascii="Times New Roman" w:eastAsia="Times New Roman" w:hAnsi="Times New Roman" w:cs="Times New Roman"/>
          <w:color w:val="333333"/>
          <w:shd w:val="clear" w:color="F5F5F5" w:fill="F5F5F5"/>
        </w:rPr>
        <w:t>numeral 22 del artículo 163</w:t>
      </w:r>
      <w:r>
        <w:rPr>
          <w:rFonts w:ascii="Times New Roman" w:eastAsia="Times New Roman" w:hAnsi="Times New Roman" w:cs="Times New Roman"/>
          <w:color w:val="333333"/>
          <w:highlight w:val="white"/>
        </w:rPr>
        <w:t xml:space="preserve"> del Decreto Distrital 190 de 20</w:t>
      </w:r>
      <w:r>
        <w:rPr>
          <w:rFonts w:ascii="Times New Roman" w:eastAsia="Times New Roman" w:hAnsi="Times New Roman" w:cs="Times New Roman"/>
          <w:color w:val="333333"/>
          <w:shd w:val="clear" w:color="F5F5F5" w:fill="F5F5F5"/>
        </w:rPr>
        <w:t xml:space="preserve">04 </w:t>
      </w:r>
      <w:r>
        <w:rPr>
          <w:rFonts w:ascii="Times New Roman" w:eastAsia="Times New Roman" w:hAnsi="Times New Roman" w:cs="Times New Roman"/>
          <w:i/>
          <w:color w:val="333333"/>
          <w:shd w:val="clear" w:color="F5F5F5" w:fill="F5F5F5"/>
        </w:rPr>
        <w:t>“Por medio del cual se compilan las disposiciones contenidas en los Decretos Distritales 619 de 2000 y 469 de 2003”</w:t>
      </w:r>
      <w:r>
        <w:rPr>
          <w:rFonts w:ascii="Times New Roman" w:eastAsia="Times New Roman" w:hAnsi="Times New Roman" w:cs="Times New Roman"/>
          <w:color w:val="333333"/>
          <w:shd w:val="clear" w:color="F5F5F5" w:fill="F5F5F5"/>
        </w:rPr>
        <w:t xml:space="preserve">, establece como objetivo del Sistema de Movilidad </w:t>
      </w:r>
      <w:r>
        <w:rPr>
          <w:rFonts w:ascii="Times New Roman" w:eastAsia="Times New Roman" w:hAnsi="Times New Roman" w:cs="Times New Roman"/>
          <w:i/>
          <w:color w:val="333333"/>
          <w:shd w:val="clear" w:color="F5F5F5" w:fill="F5F5F5"/>
        </w:rPr>
        <w:t xml:space="preserve">“Regular el </w:t>
      </w:r>
      <w:r>
        <w:rPr>
          <w:rFonts w:ascii="Times New Roman" w:eastAsia="Times New Roman" w:hAnsi="Times New Roman" w:cs="Times New Roman"/>
          <w:i/>
          <w:color w:val="333333"/>
          <w:shd w:val="clear" w:color="F5F5F5" w:fill="F5F5F5"/>
        </w:rPr>
        <w:t>estacionamiento en vía y fuera de vía, en función de la oferta y la demanda y fortalecer los mecanismos de control y la vigilancia al estacionamiento ilegal en espacio público”.</w:t>
      </w:r>
    </w:p>
    <w:p w14:paraId="70A018F9" w14:textId="77777777" w:rsidR="00826822" w:rsidRDefault="00522397">
      <w:pPr>
        <w:shd w:val="clear" w:color="FFFFFF" w:fill="FFFFFF"/>
        <w:spacing w:before="240"/>
        <w:jc w:val="both"/>
        <w:rPr>
          <w:rFonts w:ascii="Times New Roman" w:eastAsia="Times New Roman" w:hAnsi="Times New Roman" w:cs="Times New Roman"/>
        </w:rPr>
      </w:pPr>
      <w:r>
        <w:rPr>
          <w:rFonts w:ascii="Times New Roman" w:eastAsia="Times New Roman" w:hAnsi="Times New Roman" w:cs="Times New Roman"/>
        </w:rPr>
        <w:t>Que el artículo 198 ídem establece que: “</w:t>
      </w:r>
      <w:r>
        <w:rPr>
          <w:rFonts w:ascii="Times New Roman" w:eastAsia="Times New Roman" w:hAnsi="Times New Roman" w:cs="Times New Roman"/>
          <w:i/>
          <w:color w:val="333333"/>
          <w:shd w:val="clear" w:color="F5F5F5" w:fill="F5F5F5"/>
        </w:rPr>
        <w:t>Las zonas de estacionamiento en vía n</w:t>
      </w:r>
      <w:r>
        <w:rPr>
          <w:rFonts w:ascii="Times New Roman" w:eastAsia="Times New Roman" w:hAnsi="Times New Roman" w:cs="Times New Roman"/>
          <w:i/>
          <w:color w:val="333333"/>
          <w:shd w:val="clear" w:color="F5F5F5" w:fill="F5F5F5"/>
        </w:rPr>
        <w:t>o pierden su carácter de espacio público y no generan derechos para los particulares que por delegación de la Secretaría de Tránsito y Transporte reciban autorización temporal para recaudar los cobros por el estacionamiento vehicular</w:t>
      </w:r>
      <w:r>
        <w:rPr>
          <w:rFonts w:ascii="Times New Roman" w:eastAsia="Times New Roman" w:hAnsi="Times New Roman" w:cs="Times New Roman"/>
          <w:color w:val="333333"/>
          <w:shd w:val="clear" w:color="F5F5F5" w:fill="F5F5F5"/>
        </w:rPr>
        <w:t>.</w:t>
      </w:r>
      <w:r>
        <w:rPr>
          <w:rFonts w:ascii="Times New Roman" w:eastAsia="Times New Roman" w:hAnsi="Times New Roman" w:cs="Times New Roman"/>
        </w:rPr>
        <w:t>”.</w:t>
      </w:r>
    </w:p>
    <w:p w14:paraId="48EAF52E" w14:textId="77777777" w:rsidR="00826822" w:rsidRDefault="00522397">
      <w:pPr>
        <w:shd w:val="clear" w:color="FFFFFF" w:fill="FFFFFF"/>
        <w:spacing w:before="240"/>
        <w:jc w:val="both"/>
        <w:rPr>
          <w:rFonts w:ascii="Times New Roman" w:eastAsia="Times New Roman" w:hAnsi="Times New Roman" w:cs="Times New Roman"/>
        </w:rPr>
      </w:pPr>
      <w:r>
        <w:rPr>
          <w:rFonts w:ascii="Times New Roman" w:eastAsia="Times New Roman" w:hAnsi="Times New Roman" w:cs="Times New Roman"/>
        </w:rPr>
        <w:t xml:space="preserve">Que el artículo 47 </w:t>
      </w:r>
      <w:r>
        <w:rPr>
          <w:rFonts w:ascii="Times New Roman" w:eastAsia="Times New Roman" w:hAnsi="Times New Roman" w:cs="Times New Roman"/>
        </w:rPr>
        <w:t xml:space="preserve">del Plan Maestro de Movilidad (PMM), adoptado mediante el Decreto 319 de 2006, como instrumento que desarrolla y reglamenta el Sistema de Movilidad del POT,  señala que: </w:t>
      </w:r>
      <w:r>
        <w:rPr>
          <w:rFonts w:ascii="Times New Roman" w:eastAsia="Times New Roman" w:hAnsi="Times New Roman" w:cs="Times New Roman"/>
          <w:i/>
        </w:rPr>
        <w:t xml:space="preserve">“Para la concreción de los objetivos del Ordenamiento de Estacionamientos se aplicará </w:t>
      </w:r>
      <w:r>
        <w:rPr>
          <w:rFonts w:ascii="Times New Roman" w:eastAsia="Times New Roman" w:hAnsi="Times New Roman" w:cs="Times New Roman"/>
          <w:i/>
        </w:rPr>
        <w:t xml:space="preserve">como estrategia en el </w:t>
      </w:r>
      <w:r>
        <w:rPr>
          <w:rFonts w:ascii="Times New Roman" w:eastAsia="Times New Roman" w:hAnsi="Times New Roman" w:cs="Times New Roman"/>
          <w:i/>
        </w:rPr>
        <w:lastRenderedPageBreak/>
        <w:t>corto plazo la habilitación de los estacionamientos en vías locales e intermedias, y en las bahías que expresamente autorice la autoridad de tránsito, en función de la congestión y del tamaño de la oferta fuera de vía”</w:t>
      </w:r>
      <w:r>
        <w:rPr>
          <w:rFonts w:ascii="Times New Roman" w:eastAsia="Times New Roman" w:hAnsi="Times New Roman" w:cs="Times New Roman"/>
        </w:rPr>
        <w:t>.</w:t>
      </w:r>
    </w:p>
    <w:p w14:paraId="78CCAEC3" w14:textId="77777777" w:rsidR="00826822" w:rsidRDefault="00522397">
      <w:pPr>
        <w:shd w:val="clear" w:color="FFFFFF" w:fill="FFFFFF"/>
        <w:spacing w:before="240"/>
        <w:jc w:val="both"/>
        <w:rPr>
          <w:rFonts w:ascii="Times New Roman" w:eastAsia="Times New Roman" w:hAnsi="Times New Roman" w:cs="Times New Roman"/>
        </w:rPr>
      </w:pPr>
      <w:r>
        <w:rPr>
          <w:rFonts w:ascii="Times New Roman" w:eastAsia="Times New Roman" w:hAnsi="Times New Roman" w:cs="Times New Roman"/>
        </w:rPr>
        <w:t>Que la adminis</w:t>
      </w:r>
      <w:r>
        <w:rPr>
          <w:rFonts w:ascii="Times New Roman" w:eastAsia="Times New Roman" w:hAnsi="Times New Roman" w:cs="Times New Roman"/>
        </w:rPr>
        <w:t xml:space="preserve">tración distrital expidió el Decreto Distrital 519 de 2019, </w:t>
      </w:r>
      <w:r>
        <w:rPr>
          <w:rFonts w:ascii="Times New Roman" w:eastAsia="Times New Roman" w:hAnsi="Times New Roman" w:cs="Times New Roman"/>
          <w:i/>
        </w:rPr>
        <w:t xml:space="preserve">“Por medio del cual se reglamenta el Acuerdo Distrital 695 de 2017 en lo relacionado con el estacionamiento en vía pública y se dictan otras disposiciones”, </w:t>
      </w:r>
      <w:r>
        <w:rPr>
          <w:rFonts w:ascii="Times New Roman" w:eastAsia="Times New Roman" w:hAnsi="Times New Roman" w:cs="Times New Roman"/>
        </w:rPr>
        <w:t>el cual fue modificado y adicionado por</w:t>
      </w:r>
      <w:r>
        <w:rPr>
          <w:rFonts w:ascii="Times New Roman" w:eastAsia="Times New Roman" w:hAnsi="Times New Roman" w:cs="Times New Roman"/>
        </w:rPr>
        <w:t xml:space="preserve"> el Decreto Distrital 379 de 2021, para establecer la operación pública del Estacionamiento en Vía. </w:t>
      </w:r>
    </w:p>
    <w:p w14:paraId="5F5972DD" w14:textId="77777777" w:rsidR="00826822" w:rsidRDefault="00826822">
      <w:pPr>
        <w:jc w:val="both"/>
        <w:rPr>
          <w:rFonts w:ascii="Times New Roman" w:eastAsia="Times New Roman" w:hAnsi="Times New Roman" w:cs="Times New Roman"/>
        </w:rPr>
      </w:pPr>
    </w:p>
    <w:p w14:paraId="0598643A" w14:textId="77777777" w:rsidR="00826822" w:rsidRDefault="00522397">
      <w:pPr>
        <w:jc w:val="both"/>
        <w:rPr>
          <w:rFonts w:ascii="Times New Roman" w:eastAsia="Times New Roman" w:hAnsi="Times New Roman" w:cs="Times New Roman"/>
        </w:rPr>
      </w:pPr>
      <w:r>
        <w:rPr>
          <w:rFonts w:ascii="Times New Roman" w:eastAsia="Times New Roman" w:hAnsi="Times New Roman" w:cs="Times New Roman"/>
        </w:rPr>
        <w:t>Que el artículo 11 del Decreto Distrital 519 de 2019, señala que la inspección, vigilancia y control de la adecuada operación del estacionamiento en vía p</w:t>
      </w:r>
      <w:r>
        <w:rPr>
          <w:rFonts w:ascii="Times New Roman" w:eastAsia="Times New Roman" w:hAnsi="Times New Roman" w:cs="Times New Roman"/>
        </w:rPr>
        <w:t>ública y del cumplimiento de las normas de tránsito será realizado por la Secretaría Distrital de Movilidad.</w:t>
      </w:r>
    </w:p>
    <w:p w14:paraId="4249B3AD" w14:textId="77777777" w:rsidR="00826822" w:rsidRDefault="00522397">
      <w:pPr>
        <w:shd w:val="clear" w:color="FFFFFF" w:fill="FFFFFF"/>
        <w:spacing w:before="280" w:after="280" w:line="240" w:lineRule="auto"/>
        <w:jc w:val="both"/>
        <w:rPr>
          <w:rFonts w:ascii="Times New Roman" w:eastAsia="Times New Roman" w:hAnsi="Times New Roman" w:cs="Times New Roman"/>
          <w:i/>
        </w:rPr>
      </w:pPr>
      <w:r>
        <w:rPr>
          <w:rFonts w:ascii="Times New Roman" w:eastAsia="Times New Roman" w:hAnsi="Times New Roman" w:cs="Times New Roman"/>
        </w:rPr>
        <w:t>Que a través del artículo 1 del Decreto Distrital 379 de 2021 el estacionamiento en vía se estableció como una operación pública realizada a través</w:t>
      </w:r>
      <w:r>
        <w:rPr>
          <w:rFonts w:ascii="Times New Roman" w:eastAsia="Times New Roman" w:hAnsi="Times New Roman" w:cs="Times New Roman"/>
        </w:rPr>
        <w:t xml:space="preserve"> de una entidad pública distrital del sector descentralizado, indicando en el parágrafo del referido artículo que: </w:t>
      </w:r>
      <w:r>
        <w:rPr>
          <w:rFonts w:ascii="Times New Roman" w:eastAsia="Times New Roman" w:hAnsi="Times New Roman" w:cs="Times New Roman"/>
          <w:i/>
        </w:rPr>
        <w:t>“La Secretaría Distrital de Movilidad autorizará la operación de que trata el presente artículo, a una entidad pública distrital del sector d</w:t>
      </w:r>
      <w:r>
        <w:rPr>
          <w:rFonts w:ascii="Times New Roman" w:eastAsia="Times New Roman" w:hAnsi="Times New Roman" w:cs="Times New Roman"/>
          <w:i/>
        </w:rPr>
        <w:t>escentralizado, siempre que sus funciones tengan relación directa con la prestación del servicio”.</w:t>
      </w:r>
    </w:p>
    <w:p w14:paraId="207ECCF1" w14:textId="77777777" w:rsidR="00826822" w:rsidRDefault="00522397">
      <w:pPr>
        <w:shd w:val="clear" w:color="FFFFFF" w:fill="FFFFFF"/>
        <w:spacing w:before="280" w:after="280" w:line="240" w:lineRule="auto"/>
        <w:jc w:val="both"/>
        <w:rPr>
          <w:rFonts w:ascii="Times New Roman" w:eastAsia="Times New Roman" w:hAnsi="Times New Roman" w:cs="Times New Roman"/>
          <w:i/>
          <w:highlight w:val="white"/>
        </w:rPr>
      </w:pPr>
      <w:r>
        <w:rPr>
          <w:rFonts w:ascii="Times New Roman" w:eastAsia="Times New Roman" w:hAnsi="Times New Roman" w:cs="Times New Roman"/>
        </w:rPr>
        <w:t>Que el artículo 8 del Decreto Distrital 519 de 2019, modificado por el artículo 7 del Decreto Distrital 379 de 2021</w:t>
      </w:r>
      <w:r>
        <w:t xml:space="preserve">, </w:t>
      </w:r>
      <w:r>
        <w:rPr>
          <w:rFonts w:ascii="Times New Roman" w:eastAsia="Times New Roman" w:hAnsi="Times New Roman" w:cs="Times New Roman"/>
        </w:rPr>
        <w:t>d</w:t>
      </w:r>
      <w:r>
        <w:rPr>
          <w:rFonts w:ascii="Times New Roman" w:eastAsia="Times New Roman" w:hAnsi="Times New Roman" w:cs="Times New Roman"/>
          <w:color w:val="434343"/>
        </w:rPr>
        <w:t>efin</w:t>
      </w:r>
      <w:r>
        <w:rPr>
          <w:rFonts w:ascii="Times New Roman" w:eastAsia="Times New Roman" w:hAnsi="Times New Roman" w:cs="Times New Roman"/>
        </w:rPr>
        <w:t xml:space="preserve">e los rangos de tarifa por minuto a pagar por el usuario y estipula que, </w:t>
      </w:r>
      <w:r>
        <w:rPr>
          <w:rFonts w:ascii="Times New Roman" w:eastAsia="Times New Roman" w:hAnsi="Times New Roman" w:cs="Times New Roman"/>
          <w:i/>
        </w:rPr>
        <w:t>“el valor aplicable de la tarifa en cada una de las áreas de implementación, s</w:t>
      </w:r>
      <w:r>
        <w:rPr>
          <w:rFonts w:ascii="Times New Roman" w:eastAsia="Times New Roman" w:hAnsi="Times New Roman" w:cs="Times New Roman"/>
          <w:i/>
          <w:highlight w:val="white"/>
        </w:rPr>
        <w:t>erá definido por la Secretaría Distrital de Movilidad de oficio o por solicitud del Operador, quien reali</w:t>
      </w:r>
      <w:r>
        <w:rPr>
          <w:rFonts w:ascii="Times New Roman" w:eastAsia="Times New Roman" w:hAnsi="Times New Roman" w:cs="Times New Roman"/>
          <w:i/>
          <w:highlight w:val="white"/>
        </w:rPr>
        <w:t>zará una propuesta de las tarifas a cobrar a los usuarios, respetando los rangos tarifarios definidos en el Acuerdo 695 de 2017, en el presente Decreto y en las actualizaciones que realice la Secretaría Distrital de Movilidad.”</w:t>
      </w:r>
    </w:p>
    <w:p w14:paraId="3B88EBE7" w14:textId="77777777" w:rsidR="00826822" w:rsidRDefault="00522397">
      <w:pPr>
        <w:shd w:val="clear" w:color="FFFFFF" w:fill="FFFFFF"/>
        <w:spacing w:before="280" w:after="280" w:line="240" w:lineRule="auto"/>
        <w:jc w:val="both"/>
        <w:rPr>
          <w:rFonts w:ascii="Times New Roman" w:eastAsia="Times New Roman" w:hAnsi="Times New Roman" w:cs="Times New Roman"/>
          <w:i/>
        </w:rPr>
      </w:pPr>
      <w:r>
        <w:rPr>
          <w:rFonts w:ascii="Times New Roman" w:eastAsia="Times New Roman" w:hAnsi="Times New Roman" w:cs="Times New Roman"/>
        </w:rPr>
        <w:t xml:space="preserve">Que como consecuencia de lo </w:t>
      </w:r>
      <w:r>
        <w:rPr>
          <w:rFonts w:ascii="Times New Roman" w:eastAsia="Times New Roman" w:hAnsi="Times New Roman" w:cs="Times New Roman"/>
        </w:rPr>
        <w:t>anterior, la Secretaría Distrital de Movilidad y la Terminal de Transporte S.A. suscribieron el Contrato Interadministrativo No.2021-2470, cuyo objeto se determinó en: “</w:t>
      </w:r>
      <w:r>
        <w:rPr>
          <w:rFonts w:ascii="Times New Roman" w:eastAsia="Times New Roman" w:hAnsi="Times New Roman" w:cs="Times New Roman"/>
          <w:i/>
        </w:rPr>
        <w:t>Autorizar por parte de la Secretaría Distrital de Movilidad a la Terminal de Transporte</w:t>
      </w:r>
      <w:r>
        <w:rPr>
          <w:rFonts w:ascii="Times New Roman" w:eastAsia="Times New Roman" w:hAnsi="Times New Roman" w:cs="Times New Roman"/>
          <w:i/>
        </w:rPr>
        <w:t xml:space="preserve"> S.A. para ejecutar la implementación, administración, operación, explotación y control de la Operación Pública del Servicio de Estacionamiento en Vía en las áreas de implementación y segmentos viales autorizados, de conformidad con los procedimientos, tar</w:t>
      </w:r>
      <w:r>
        <w:rPr>
          <w:rFonts w:ascii="Times New Roman" w:eastAsia="Times New Roman" w:hAnsi="Times New Roman" w:cs="Times New Roman"/>
          <w:i/>
        </w:rPr>
        <w:t>ifas y obligaciones establecidas en el presente contrato y en particular del Anexo 1”.</w:t>
      </w:r>
    </w:p>
    <w:p w14:paraId="0ECED928"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Que de acuerdo con el Anexo 1. Especificaciones de la Zona del Contrato Interadministrativo 2021-2470, las cuatro (4) primeras zonas a implementar se encuentran delimita</w:t>
      </w:r>
      <w:r>
        <w:rPr>
          <w:rFonts w:ascii="Times New Roman" w:eastAsia="Times New Roman" w:hAnsi="Times New Roman" w:cs="Times New Roman"/>
        </w:rPr>
        <w:t xml:space="preserve">das de la siguiente manera. Zona 1: Al sur: calle 76 entre la Av. Carrera 11 y la Av. Carrera </w:t>
      </w:r>
      <w:proofErr w:type="gramStart"/>
      <w:r>
        <w:rPr>
          <w:rFonts w:ascii="Times New Roman" w:eastAsia="Times New Roman" w:hAnsi="Times New Roman" w:cs="Times New Roman"/>
        </w:rPr>
        <w:t>20,al</w:t>
      </w:r>
      <w:proofErr w:type="gramEnd"/>
      <w:r>
        <w:rPr>
          <w:rFonts w:ascii="Times New Roman" w:eastAsia="Times New Roman" w:hAnsi="Times New Roman" w:cs="Times New Roman"/>
        </w:rPr>
        <w:t xml:space="preserve"> norte: Calle 94 entre Av. Carrera 11 y Diagonal 92, al oriente: </w:t>
      </w:r>
      <w:proofErr w:type="spellStart"/>
      <w:r>
        <w:rPr>
          <w:rFonts w:ascii="Times New Roman" w:eastAsia="Times New Roman" w:hAnsi="Times New Roman" w:cs="Times New Roman"/>
        </w:rPr>
        <w:t>Av</w:t>
      </w:r>
      <w:proofErr w:type="spellEnd"/>
      <w:r>
        <w:rPr>
          <w:rFonts w:ascii="Times New Roman" w:eastAsia="Times New Roman" w:hAnsi="Times New Roman" w:cs="Times New Roman"/>
        </w:rPr>
        <w:t xml:space="preserve"> Carrera 11 entre Calle 76 y Calle 94 y al occidente: Av. Carrera 20 entre la Calle 76 y D</w:t>
      </w:r>
      <w:r>
        <w:rPr>
          <w:rFonts w:ascii="Times New Roman" w:eastAsia="Times New Roman" w:hAnsi="Times New Roman" w:cs="Times New Roman"/>
        </w:rPr>
        <w:t xml:space="preserve">iagonal 92 ± Diagonal 92 entre la Av. Carrera 20 y la Calle 94. Zona 2: Al Sur: Av. Calle 72 entre la Av. Carrera 20 y la Av. Carrera 7ª, al Norte: Av. Calle 100 entre Av. Carrera 45 y la Av. Carrera 7ª, al Oriente: Av. Carrera 7ª entre Av. Calle 72 y Av. </w:t>
      </w:r>
      <w:r>
        <w:rPr>
          <w:rFonts w:ascii="Times New Roman" w:eastAsia="Times New Roman" w:hAnsi="Times New Roman" w:cs="Times New Roman"/>
        </w:rPr>
        <w:t>Calle 100 y a Occidente: Av. Carrera 20 entre Av. Calle 72 y Calle 76 - Av. Carrera 11 entre Calle 76 y Calle 94 - Av. Carrera 45 entre Diagonal 92 y Av. Calle 100. Zona 3: al Sur: Av. Calle 45 entre Carrera 7ª y Av. Carrera 14, al Norte: Av. Calle 72 entr</w:t>
      </w:r>
      <w:r>
        <w:rPr>
          <w:rFonts w:ascii="Times New Roman" w:eastAsia="Times New Roman" w:hAnsi="Times New Roman" w:cs="Times New Roman"/>
        </w:rPr>
        <w:t>e Av. Carrera 14 y Av. Carrera 7ª - (Carrera 6- Calle 78- Diagonal 76) entre Av. Carrera 7ª y Carrera 1A- Calle 76 entre Carrera 1A y Carrera 1 Este- Calle 77 entre Carrera 1 Este y Transversal 2, al Oriente: Av. Carrera 7ª entre Av. Calle 45 y Av. Calle 5</w:t>
      </w:r>
      <w:r>
        <w:rPr>
          <w:rFonts w:ascii="Times New Roman" w:eastAsia="Times New Roman" w:hAnsi="Times New Roman" w:cs="Times New Roman"/>
        </w:rPr>
        <w:t xml:space="preserve">3 - (Av. Carrera 2ª - Calle </w:t>
      </w:r>
      <w:r>
        <w:rPr>
          <w:rFonts w:ascii="Times New Roman" w:eastAsia="Times New Roman" w:hAnsi="Times New Roman" w:cs="Times New Roman"/>
        </w:rPr>
        <w:lastRenderedPageBreak/>
        <w:t>60 Bis - Transversal 4 Este) entre Calle 53 y Calle 68 - Carrera 1ª entre Calle 68 y Diagonal 72, al Occidente: Av. Carrera 14 entre Av. Calle 45 y Av. Calle 72. Zona 4: al Sur: Av. Calle 100 entre la Av. Carrera 45 y Av. Carrer</w:t>
      </w:r>
      <w:r>
        <w:rPr>
          <w:rFonts w:ascii="Times New Roman" w:eastAsia="Times New Roman" w:hAnsi="Times New Roman" w:cs="Times New Roman"/>
        </w:rPr>
        <w:t>a 7ª, al Norte: Av. Calle 127 entre la Av. Carrera 45 y Av. Carrera 7ª, al Oriente: Av. Carrera 7ª entre Av. Calle 100 y Calle 112 - Borde oriental como se muestra en el mapa entre Calle 112 y Calle 121 - Av. Carrera 7ª entre Calle 121 y Av. Calle 127 y al</w:t>
      </w:r>
      <w:r>
        <w:rPr>
          <w:rFonts w:ascii="Times New Roman" w:eastAsia="Times New Roman" w:hAnsi="Times New Roman" w:cs="Times New Roman"/>
        </w:rPr>
        <w:t xml:space="preserve"> Occidente: Av. Carrera 45 entre Av. Calle 100 y Av. Calle 127.</w:t>
      </w:r>
    </w:p>
    <w:p w14:paraId="306D9E03"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Que el Decreto Distrital 379 del 12 de octubre de 2021</w:t>
      </w:r>
      <w:r>
        <w:rPr>
          <w:rFonts w:ascii="Times New Roman" w:eastAsia="Times New Roman" w:hAnsi="Times New Roman" w:cs="Times New Roman"/>
          <w:i/>
        </w:rPr>
        <w:t xml:space="preserve"> "Por medio del cual se modifica y se adiciona el Decreto Distrital 519 de 2019 'Por medio del cual se reglamenta el Acuerdo Distrital 695</w:t>
      </w:r>
      <w:r>
        <w:rPr>
          <w:rFonts w:ascii="Times New Roman" w:eastAsia="Times New Roman" w:hAnsi="Times New Roman" w:cs="Times New Roman"/>
          <w:i/>
        </w:rPr>
        <w:t xml:space="preserve"> de 2017 en lo relacionado con el estacionamiento en vía pública y se dictan otras disposiciones', para establecer la operación pública del Estacionamiento en Vía.".</w:t>
      </w:r>
      <w:r>
        <w:rPr>
          <w:rFonts w:ascii="Times New Roman" w:eastAsia="Times New Roman" w:hAnsi="Times New Roman" w:cs="Times New Roman"/>
        </w:rPr>
        <w:t xml:space="preserve"> En el artículo 7 parágrafo 5 establece que: </w:t>
      </w:r>
      <w:r>
        <w:rPr>
          <w:rFonts w:ascii="Times New Roman" w:eastAsia="Times New Roman" w:hAnsi="Times New Roman" w:cs="Times New Roman"/>
          <w:i/>
        </w:rPr>
        <w:t>“La Secretaría Distrital de Movilidad podrá de</w:t>
      </w:r>
      <w:r>
        <w:rPr>
          <w:rFonts w:ascii="Times New Roman" w:eastAsia="Times New Roman" w:hAnsi="Times New Roman" w:cs="Times New Roman"/>
          <w:i/>
        </w:rPr>
        <w:t>terminar que el cobro de la tarifa se haga por hora o por fracciones de hora, siempre y cuando el valor a pagar se determine con base en los rangos de tarifa por minuto definidos en el presente Decreto.”</w:t>
      </w:r>
      <w:r>
        <w:rPr>
          <w:rFonts w:ascii="Times New Roman" w:eastAsia="Times New Roman" w:hAnsi="Times New Roman" w:cs="Times New Roman"/>
        </w:rPr>
        <w:t xml:space="preserve">. </w:t>
      </w:r>
    </w:p>
    <w:p w14:paraId="7853A1B1"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Que las tarifas presentadas por la Terminal se enc</w:t>
      </w:r>
      <w:r>
        <w:rPr>
          <w:rFonts w:ascii="Times New Roman" w:eastAsia="Times New Roman" w:hAnsi="Times New Roman" w:cs="Times New Roman"/>
        </w:rPr>
        <w:t>uentran entre los rangos por minuto establecidos en el Decreto Distrital 379 del 12 de octubre de 2021.</w:t>
      </w:r>
    </w:p>
    <w:p w14:paraId="3B6F03E1" w14:textId="2D81CFC2"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 xml:space="preserve">Que la Terminal de Transporte S.A mediante correo electrónico del 20 de octubre de 2021, presentó a la Secretaría Distrital de Movilidad el cálculo de la tarifa por fracción de 30 minutos de estacionamiento en vía para las zonas 1, 2, 3 y 4, señalando los </w:t>
      </w:r>
      <w:r>
        <w:rPr>
          <w:rFonts w:ascii="Times New Roman" w:eastAsia="Times New Roman" w:hAnsi="Times New Roman" w:cs="Times New Roman"/>
        </w:rPr>
        <w:t xml:space="preserve">valores por minuto a cobrar </w:t>
      </w:r>
      <w:r>
        <w:rPr>
          <w:rFonts w:ascii="Times New Roman" w:eastAsia="Times New Roman" w:hAnsi="Times New Roman" w:cs="Times New Roman"/>
        </w:rPr>
        <w:t xml:space="preserve">a los usuarios así como la estimación de los factores a aplicar a la tarifa.     </w:t>
      </w:r>
    </w:p>
    <w:p w14:paraId="2CF49CE4" w14:textId="77777777" w:rsidR="00826822" w:rsidRDefault="00522397">
      <w:pPr>
        <w:shd w:val="clear" w:color="FFFFFF" w:fill="FFFFFF"/>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rPr>
        <w:t>Que de acuerdo con lo señalado en el parágrafo 1 del artículo 8 del Decreto Distrital 519 de 2019, modificado por el artículo 7 del Decreto Distr</w:t>
      </w:r>
      <w:r>
        <w:rPr>
          <w:rFonts w:ascii="Times New Roman" w:eastAsia="Times New Roman" w:hAnsi="Times New Roman" w:cs="Times New Roman"/>
        </w:rPr>
        <w:t>ital 379 del 12 de octubre de 2021, la Secretaría Distrital de Movilidad, por medio del correo electrónico em</w:t>
      </w:r>
      <w:r>
        <w:rPr>
          <w:rFonts w:ascii="Times New Roman" w:eastAsia="Times New Roman" w:hAnsi="Times New Roman" w:cs="Times New Roman"/>
          <w:highlight w:val="white"/>
        </w:rPr>
        <w:t>itido el 20 de octubre de 20</w:t>
      </w:r>
      <w:r>
        <w:rPr>
          <w:rFonts w:ascii="Times New Roman" w:eastAsia="Times New Roman" w:hAnsi="Times New Roman" w:cs="Times New Roman"/>
        </w:rPr>
        <w:t>21 dirigido a la Terminal de Transporte S.A  aprobó los valores a pagar por fracción a los usuarios así como la estimac</w:t>
      </w:r>
      <w:r>
        <w:rPr>
          <w:rFonts w:ascii="Times New Roman" w:eastAsia="Times New Roman" w:hAnsi="Times New Roman" w:cs="Times New Roman"/>
        </w:rPr>
        <w:t>ión de los factores a aplicar a la tarifa.</w:t>
      </w:r>
    </w:p>
    <w:p w14:paraId="3F339B9D" w14:textId="77777777" w:rsidR="00826822" w:rsidRDefault="00522397">
      <w:pPr>
        <w:shd w:val="clear" w:color="FFFFFF" w:fill="FFFFFF"/>
        <w:ind w:left="100" w:right="120"/>
        <w:jc w:val="both"/>
        <w:rPr>
          <w:rFonts w:ascii="Times New Roman" w:eastAsia="Times New Roman" w:hAnsi="Times New Roman" w:cs="Times New Roman"/>
          <w:sz w:val="20"/>
          <w:szCs w:val="20"/>
        </w:rPr>
      </w:pPr>
      <w:r>
        <w:rPr>
          <w:rFonts w:ascii="Times New Roman" w:eastAsia="Times New Roman" w:hAnsi="Times New Roman" w:cs="Times New Roman"/>
        </w:rPr>
        <w:t>Que en cumplimiento del numeral 8º del artículo 8 de la Ley 1437 de 2011 y del artículo 3 del Decreto Distrital 069 de 2021, el proyecto de resolución fue puesto en conocimiento de la ciudadanía desde el 2</w:t>
      </w:r>
      <w:r>
        <w:rPr>
          <w:rFonts w:ascii="Times New Roman" w:eastAsia="Times New Roman" w:hAnsi="Times New Roman" w:cs="Times New Roman"/>
          <w:color w:val="FF0000"/>
        </w:rPr>
        <w:t>0 y hast</w:t>
      </w:r>
      <w:r>
        <w:rPr>
          <w:rFonts w:ascii="Times New Roman" w:eastAsia="Times New Roman" w:hAnsi="Times New Roman" w:cs="Times New Roman"/>
          <w:color w:val="FF0000"/>
        </w:rPr>
        <w:t>a el 28 de octubre de 2021</w:t>
      </w:r>
      <w:r>
        <w:rPr>
          <w:rFonts w:ascii="Times New Roman" w:eastAsia="Times New Roman" w:hAnsi="Times New Roman" w:cs="Times New Roman"/>
        </w:rPr>
        <w:t xml:space="preserve"> a través de la página web de la Secretaría Jurídica Distrital</w:t>
      </w:r>
      <w:hyperlink r:id="rId7" w:tooltip="https://legalbog.secretariajuridica.gov.co/regimen-legal-publico%23/acto-admin-publico" w:history="1">
        <w:r>
          <w:rPr>
            <w:rFonts w:ascii="Times New Roman" w:eastAsia="Times New Roman" w:hAnsi="Times New Roman" w:cs="Times New Roman"/>
          </w:rPr>
          <w:t xml:space="preserve"> </w:t>
        </w:r>
      </w:hyperlink>
      <w:hyperlink r:id="rId8" w:anchor="/acto-admin-publico" w:tooltip="https://legalbog.secretariajuridica.gov.co/regimen-legal-publico#/acto-admin-publico" w:history="1">
        <w:r>
          <w:rPr>
            <w:rFonts w:ascii="Times New Roman" w:eastAsia="Times New Roman" w:hAnsi="Times New Roman" w:cs="Times New Roman"/>
            <w:color w:val="0462C1"/>
            <w:u w:val="single"/>
          </w:rPr>
          <w:t>https://legalbog.secretariajurid</w:t>
        </w:r>
        <w:r>
          <w:rPr>
            <w:rFonts w:ascii="Times New Roman" w:eastAsia="Times New Roman" w:hAnsi="Times New Roman" w:cs="Times New Roman"/>
            <w:color w:val="0462C1"/>
            <w:u w:val="single"/>
          </w:rPr>
          <w:t>ica.gov.co/regimen-legal-publico#/acto-admin-publico</w:t>
        </w:r>
      </w:hyperlink>
      <w:r>
        <w:rPr>
          <w:rFonts w:ascii="Times New Roman" w:eastAsia="Times New Roman" w:hAnsi="Times New Roman" w:cs="Times New Roman"/>
          <w:color w:val="0462C1"/>
          <w:u w:val="single"/>
        </w:rPr>
        <w:t>,</w:t>
      </w:r>
      <w:r>
        <w:rPr>
          <w:rFonts w:ascii="Times New Roman" w:eastAsia="Times New Roman" w:hAnsi="Times New Roman" w:cs="Times New Roman"/>
          <w:color w:val="0462C1"/>
        </w:rPr>
        <w:t xml:space="preserve"> xxx  </w:t>
      </w:r>
      <w:r>
        <w:rPr>
          <w:rFonts w:ascii="Times New Roman" w:eastAsia="Times New Roman" w:hAnsi="Times New Roman" w:cs="Times New Roman"/>
        </w:rPr>
        <w:t xml:space="preserve"> observaciones a la misma.</w:t>
      </w:r>
    </w:p>
    <w:p w14:paraId="39E5A622" w14:textId="77777777" w:rsidR="00826822" w:rsidRDefault="00826822">
      <w:pPr>
        <w:shd w:val="clear" w:color="FFFFFF" w:fill="FFFFFF"/>
        <w:ind w:left="100" w:right="120"/>
        <w:jc w:val="both"/>
        <w:rPr>
          <w:rFonts w:ascii="Times New Roman" w:eastAsia="Times New Roman" w:hAnsi="Times New Roman" w:cs="Times New Roman"/>
        </w:rPr>
      </w:pPr>
    </w:p>
    <w:p w14:paraId="3A2346DC" w14:textId="77777777" w:rsidR="00826822" w:rsidRDefault="00522397">
      <w:pPr>
        <w:spacing w:line="240" w:lineRule="auto"/>
        <w:jc w:val="both"/>
        <w:rPr>
          <w:rFonts w:ascii="Times New Roman" w:eastAsia="Times New Roman" w:hAnsi="Times New Roman" w:cs="Times New Roman"/>
        </w:rPr>
      </w:pPr>
      <w:r>
        <w:rPr>
          <w:rFonts w:ascii="Times New Roman" w:eastAsia="Times New Roman" w:hAnsi="Times New Roman" w:cs="Times New Roman"/>
        </w:rPr>
        <w:t>En mérito de lo expuesto,</w:t>
      </w:r>
    </w:p>
    <w:p w14:paraId="76623DF6" w14:textId="77777777" w:rsidR="00826822" w:rsidRDefault="00826822">
      <w:pPr>
        <w:spacing w:line="240" w:lineRule="auto"/>
        <w:jc w:val="both"/>
        <w:rPr>
          <w:rFonts w:ascii="Times New Roman" w:eastAsia="Times New Roman" w:hAnsi="Times New Roman" w:cs="Times New Roman"/>
        </w:rPr>
      </w:pPr>
    </w:p>
    <w:p w14:paraId="31EFF09E" w14:textId="77777777" w:rsidR="00826822" w:rsidRDefault="00522397">
      <w:pPr>
        <w:spacing w:line="240" w:lineRule="auto"/>
        <w:jc w:val="center"/>
        <w:rPr>
          <w:rFonts w:ascii="Times New Roman" w:eastAsia="Times New Roman" w:hAnsi="Times New Roman" w:cs="Times New Roman"/>
        </w:rPr>
      </w:pPr>
      <w:r>
        <w:rPr>
          <w:rFonts w:ascii="Times New Roman" w:eastAsia="Times New Roman" w:hAnsi="Times New Roman" w:cs="Times New Roman"/>
          <w:b/>
        </w:rPr>
        <w:t>RESUELVE</w:t>
      </w:r>
    </w:p>
    <w:p w14:paraId="5CEEA6C0" w14:textId="77777777" w:rsidR="00826822" w:rsidRDefault="00826822">
      <w:pPr>
        <w:spacing w:line="240" w:lineRule="auto"/>
        <w:jc w:val="center"/>
        <w:rPr>
          <w:rFonts w:ascii="Times New Roman" w:eastAsia="Times New Roman" w:hAnsi="Times New Roman" w:cs="Times New Roman"/>
        </w:rPr>
      </w:pPr>
    </w:p>
    <w:p w14:paraId="4A800D49" w14:textId="680C0DEE" w:rsidR="00826822" w:rsidRDefault="00522397">
      <w:pPr>
        <w:spacing w:line="240" w:lineRule="auto"/>
        <w:jc w:val="both"/>
        <w:rPr>
          <w:rFonts w:ascii="Times New Roman" w:eastAsia="Times New Roman" w:hAnsi="Times New Roman" w:cs="Times New Roman"/>
        </w:rPr>
      </w:pPr>
      <w:r>
        <w:rPr>
          <w:rFonts w:ascii="Times New Roman" w:eastAsia="Times New Roman" w:hAnsi="Times New Roman" w:cs="Times New Roman"/>
          <w:b/>
        </w:rPr>
        <w:t>Artículo 1°.  Objeto.</w:t>
      </w:r>
      <w:r>
        <w:rPr>
          <w:rFonts w:ascii="Times New Roman" w:eastAsia="Times New Roman" w:hAnsi="Times New Roman" w:cs="Times New Roman"/>
        </w:rPr>
        <w:t xml:space="preserve"> Definir el valor de la tarifa </w:t>
      </w:r>
      <w:r>
        <w:rPr>
          <w:rFonts w:ascii="Times New Roman" w:eastAsia="Times New Roman" w:hAnsi="Times New Roman" w:cs="Times New Roman"/>
        </w:rPr>
        <w:t>a pagar por fracción de 30 minutos por el estacionamiento en vía.</w:t>
      </w:r>
    </w:p>
    <w:p w14:paraId="2D8A74D3" w14:textId="77777777" w:rsidR="00826822" w:rsidRDefault="00826822">
      <w:pPr>
        <w:spacing w:line="240" w:lineRule="auto"/>
        <w:jc w:val="both"/>
        <w:rPr>
          <w:rFonts w:ascii="Times New Roman" w:eastAsia="Times New Roman" w:hAnsi="Times New Roman" w:cs="Times New Roman"/>
          <w:b/>
        </w:rPr>
      </w:pPr>
    </w:p>
    <w:p w14:paraId="33B08B2F" w14:textId="77777777" w:rsidR="00826822" w:rsidRDefault="00522397">
      <w:pPr>
        <w:spacing w:line="240" w:lineRule="auto"/>
        <w:jc w:val="both"/>
        <w:rPr>
          <w:rFonts w:ascii="Arial Narrow" w:eastAsia="Arial Narrow" w:hAnsi="Arial Narrow" w:cs="Arial Narrow"/>
        </w:rPr>
      </w:pPr>
      <w:r>
        <w:rPr>
          <w:rFonts w:ascii="Times New Roman" w:eastAsia="Times New Roman" w:hAnsi="Times New Roman" w:cs="Times New Roman"/>
          <w:b/>
        </w:rPr>
        <w:t xml:space="preserve">Artículo 2º. Ámbito de aplicación. </w:t>
      </w:r>
      <w:r>
        <w:rPr>
          <w:rFonts w:ascii="Times New Roman" w:eastAsia="Times New Roman" w:hAnsi="Times New Roman" w:cs="Times New Roman"/>
        </w:rPr>
        <w:t xml:space="preserve">La tarifa establecida se aplicará a las cuatro (4) primeras zonas de Implementación, delimitadas en el Anexo 1. Especificaciones de la Zona del Contrato </w:t>
      </w:r>
      <w:r>
        <w:rPr>
          <w:rFonts w:ascii="Times New Roman" w:eastAsia="Times New Roman" w:hAnsi="Times New Roman" w:cs="Times New Roman"/>
        </w:rPr>
        <w:t xml:space="preserve">Interadministrativo 2021-2470. </w:t>
      </w:r>
    </w:p>
    <w:p w14:paraId="16D85D53" w14:textId="77777777" w:rsidR="00826822" w:rsidRDefault="00826822">
      <w:pPr>
        <w:spacing w:line="240" w:lineRule="auto"/>
        <w:jc w:val="both"/>
        <w:rPr>
          <w:rFonts w:ascii="Times New Roman" w:eastAsia="Times New Roman" w:hAnsi="Times New Roman" w:cs="Times New Roman"/>
        </w:rPr>
      </w:pPr>
    </w:p>
    <w:p w14:paraId="0580E510" w14:textId="77777777" w:rsidR="00826822" w:rsidRDefault="00522397">
      <w:pPr>
        <w:spacing w:line="240" w:lineRule="auto"/>
        <w:jc w:val="both"/>
        <w:rPr>
          <w:rFonts w:ascii="Times New Roman" w:eastAsia="Times New Roman" w:hAnsi="Times New Roman" w:cs="Times New Roman"/>
          <w:shd w:val="clear" w:color="F5F5F5" w:fill="F5F5F5"/>
        </w:rPr>
      </w:pPr>
      <w:r>
        <w:rPr>
          <w:rFonts w:ascii="Times New Roman" w:eastAsia="Times New Roman" w:hAnsi="Times New Roman" w:cs="Times New Roman"/>
          <w:b/>
        </w:rPr>
        <w:lastRenderedPageBreak/>
        <w:t xml:space="preserve">Artículo 3º. Tarifa. </w:t>
      </w:r>
      <w:r>
        <w:rPr>
          <w:rFonts w:ascii="Times New Roman" w:eastAsia="Times New Roman" w:hAnsi="Times New Roman" w:cs="Times New Roman"/>
        </w:rPr>
        <w:t xml:space="preserve"> </w:t>
      </w:r>
      <w:proofErr w:type="gramStart"/>
      <w:r>
        <w:rPr>
          <w:rFonts w:ascii="Times New Roman" w:eastAsia="Times New Roman" w:hAnsi="Times New Roman" w:cs="Times New Roman"/>
        </w:rPr>
        <w:t>La tarifa a cobrar</w:t>
      </w:r>
      <w:proofErr w:type="gramEnd"/>
      <w:r>
        <w:rPr>
          <w:rFonts w:ascii="Times New Roman" w:eastAsia="Times New Roman" w:hAnsi="Times New Roman" w:cs="Times New Roman"/>
        </w:rPr>
        <w:t xml:space="preserve"> por fracción de 30 minutos en las zonas es la siguiente:</w:t>
      </w:r>
    </w:p>
    <w:p w14:paraId="3CE05B39" w14:textId="77777777" w:rsidR="00826822" w:rsidRDefault="00826822">
      <w:pPr>
        <w:spacing w:line="240" w:lineRule="auto"/>
        <w:jc w:val="both"/>
        <w:rPr>
          <w:rFonts w:ascii="Times New Roman" w:eastAsia="Times New Roman" w:hAnsi="Times New Roman" w:cs="Times New Roman"/>
        </w:rPr>
      </w:pPr>
    </w:p>
    <w:p w14:paraId="06186D55" w14:textId="77777777" w:rsidR="00826822" w:rsidRDefault="00522397">
      <w:pPr>
        <w:jc w:val="both"/>
        <w:rPr>
          <w:rFonts w:ascii="Times New Roman" w:eastAsia="Times New Roman" w:hAnsi="Times New Roman" w:cs="Times New Roman"/>
        </w:rPr>
      </w:pPr>
      <w:r>
        <w:rPr>
          <w:rFonts w:ascii="Times New Roman" w:eastAsia="Times New Roman" w:hAnsi="Times New Roman" w:cs="Times New Roman"/>
        </w:rPr>
        <w:t xml:space="preserve"> </w:t>
      </w:r>
    </w:p>
    <w:tbl>
      <w:tblPr>
        <w:tblStyle w:val="StGen0"/>
        <w:tblW w:w="8955" w:type="dxa"/>
        <w:jc w:val="cente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600" w:firstRow="0" w:lastRow="0" w:firstColumn="0" w:lastColumn="0" w:noHBand="1" w:noVBand="1"/>
      </w:tblPr>
      <w:tblGrid>
        <w:gridCol w:w="1500"/>
        <w:gridCol w:w="1305"/>
        <w:gridCol w:w="1245"/>
        <w:gridCol w:w="1230"/>
        <w:gridCol w:w="1245"/>
        <w:gridCol w:w="1185"/>
        <w:gridCol w:w="1245"/>
      </w:tblGrid>
      <w:tr w:rsidR="00826822" w14:paraId="2F439411" w14:textId="77777777">
        <w:trPr>
          <w:trHeight w:val="770"/>
          <w:jc w:val="center"/>
        </w:trPr>
        <w:tc>
          <w:tcPr>
            <w:tcW w:w="1500" w:type="dxa"/>
            <w:tcBorders>
              <w:top w:val="none" w:sz="0" w:space="0" w:color="000000"/>
              <w:left w:val="none" w:sz="0" w:space="0" w:color="000000"/>
              <w:bottom w:val="none" w:sz="0" w:space="0" w:color="000000"/>
              <w:right w:val="none" w:sz="0" w:space="0" w:color="000000"/>
            </w:tcBorders>
            <w:tcMar>
              <w:top w:w="100" w:type="dxa"/>
              <w:left w:w="80" w:type="dxa"/>
              <w:bottom w:w="100" w:type="dxa"/>
              <w:right w:w="80" w:type="dxa"/>
            </w:tcMar>
            <w:vAlign w:val="bottom"/>
          </w:tcPr>
          <w:p w14:paraId="7226FE43" w14:textId="77777777" w:rsidR="00826822" w:rsidRDefault="00826822">
            <w:pPr>
              <w:spacing w:line="240" w:lineRule="auto"/>
              <w:jc w:val="both"/>
              <w:rPr>
                <w:rFonts w:ascii="Times New Roman" w:eastAsia="Times New Roman" w:hAnsi="Times New Roman" w:cs="Times New Roman"/>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5CF54CDF" w14:textId="77777777" w:rsidR="00826822" w:rsidRDefault="00522397">
            <w:pPr>
              <w:jc w:val="center"/>
              <w:rPr>
                <w:rFonts w:ascii="Times New Roman" w:eastAsia="Times New Roman" w:hAnsi="Times New Roman" w:cs="Times New Roman"/>
                <w:i/>
              </w:rPr>
            </w:pPr>
            <w:r>
              <w:rPr>
                <w:rFonts w:ascii="Times New Roman" w:eastAsia="Times New Roman" w:hAnsi="Times New Roman" w:cs="Times New Roman"/>
                <w:i/>
              </w:rPr>
              <w:t>Tipo de vehículo</w:t>
            </w:r>
          </w:p>
        </w:tc>
        <w:tc>
          <w:tcPr>
            <w:tcW w:w="1245" w:type="dxa"/>
            <w:tcBorders>
              <w:top w:val="single" w:sz="8" w:space="0" w:color="000000"/>
              <w:left w:val="none" w:sz="0" w:space="0" w:color="000000"/>
              <w:bottom w:val="single" w:sz="8" w:space="0" w:color="000000"/>
              <w:right w:val="single" w:sz="8" w:space="0" w:color="000000"/>
            </w:tcBorders>
            <w:tcMar>
              <w:top w:w="100" w:type="dxa"/>
              <w:left w:w="80" w:type="dxa"/>
              <w:bottom w:w="100" w:type="dxa"/>
              <w:right w:w="80" w:type="dxa"/>
            </w:tcMar>
          </w:tcPr>
          <w:p w14:paraId="4992DCA8" w14:textId="77777777" w:rsidR="00826822" w:rsidRDefault="00522397">
            <w:pPr>
              <w:jc w:val="center"/>
              <w:rPr>
                <w:rFonts w:ascii="Times New Roman" w:eastAsia="Times New Roman" w:hAnsi="Times New Roman" w:cs="Times New Roman"/>
                <w:i/>
              </w:rPr>
            </w:pPr>
            <w:r>
              <w:rPr>
                <w:rFonts w:ascii="Times New Roman" w:eastAsia="Times New Roman" w:hAnsi="Times New Roman" w:cs="Times New Roman"/>
                <w:i/>
              </w:rPr>
              <w:t>Duración</w:t>
            </w:r>
          </w:p>
        </w:tc>
        <w:tc>
          <w:tcPr>
            <w:tcW w:w="1230" w:type="dxa"/>
            <w:tcBorders>
              <w:top w:val="single" w:sz="8" w:space="0" w:color="000000"/>
              <w:left w:val="none" w:sz="0" w:space="0" w:color="000000"/>
              <w:bottom w:val="single" w:sz="8" w:space="0" w:color="000000"/>
              <w:right w:val="single" w:sz="8" w:space="0" w:color="000000"/>
            </w:tcBorders>
            <w:tcMar>
              <w:top w:w="100" w:type="dxa"/>
              <w:left w:w="80" w:type="dxa"/>
              <w:bottom w:w="100" w:type="dxa"/>
              <w:right w:w="80" w:type="dxa"/>
            </w:tcMar>
          </w:tcPr>
          <w:p w14:paraId="2227E41D" w14:textId="77777777" w:rsidR="00826822" w:rsidRDefault="00522397">
            <w:pPr>
              <w:jc w:val="center"/>
              <w:rPr>
                <w:rFonts w:ascii="Times New Roman" w:eastAsia="Times New Roman" w:hAnsi="Times New Roman" w:cs="Times New Roman"/>
                <w:i/>
              </w:rPr>
            </w:pPr>
            <w:r>
              <w:rPr>
                <w:rFonts w:ascii="Times New Roman" w:eastAsia="Times New Roman" w:hAnsi="Times New Roman" w:cs="Times New Roman"/>
                <w:i/>
              </w:rPr>
              <w:t>Zona 1</w:t>
            </w:r>
          </w:p>
        </w:tc>
        <w:tc>
          <w:tcPr>
            <w:tcW w:w="1245" w:type="dxa"/>
            <w:tcBorders>
              <w:top w:val="single" w:sz="8" w:space="0" w:color="000000"/>
              <w:left w:val="none" w:sz="0" w:space="0" w:color="000000"/>
              <w:bottom w:val="single" w:sz="8" w:space="0" w:color="000000"/>
              <w:right w:val="single" w:sz="8" w:space="0" w:color="000000"/>
            </w:tcBorders>
            <w:tcMar>
              <w:top w:w="100" w:type="dxa"/>
              <w:left w:w="80" w:type="dxa"/>
              <w:bottom w:w="100" w:type="dxa"/>
              <w:right w:w="80" w:type="dxa"/>
            </w:tcMar>
          </w:tcPr>
          <w:p w14:paraId="6F66E028" w14:textId="77777777" w:rsidR="00826822" w:rsidRDefault="00522397">
            <w:pPr>
              <w:jc w:val="center"/>
              <w:rPr>
                <w:rFonts w:ascii="Times New Roman" w:eastAsia="Times New Roman" w:hAnsi="Times New Roman" w:cs="Times New Roman"/>
                <w:i/>
              </w:rPr>
            </w:pPr>
            <w:r>
              <w:rPr>
                <w:rFonts w:ascii="Times New Roman" w:eastAsia="Times New Roman" w:hAnsi="Times New Roman" w:cs="Times New Roman"/>
                <w:i/>
              </w:rPr>
              <w:t>Zona 2</w:t>
            </w:r>
          </w:p>
        </w:tc>
        <w:tc>
          <w:tcPr>
            <w:tcW w:w="1185" w:type="dxa"/>
            <w:tcBorders>
              <w:top w:val="single" w:sz="8" w:space="0" w:color="000000"/>
              <w:left w:val="none" w:sz="0" w:space="0" w:color="000000"/>
              <w:bottom w:val="single" w:sz="8" w:space="0" w:color="000000"/>
              <w:right w:val="single" w:sz="8" w:space="0" w:color="000000"/>
            </w:tcBorders>
            <w:tcMar>
              <w:top w:w="100" w:type="dxa"/>
              <w:left w:w="80" w:type="dxa"/>
              <w:bottom w:w="100" w:type="dxa"/>
              <w:right w:w="80" w:type="dxa"/>
            </w:tcMar>
          </w:tcPr>
          <w:p w14:paraId="58B26480" w14:textId="77777777" w:rsidR="00826822" w:rsidRDefault="00522397">
            <w:pPr>
              <w:jc w:val="center"/>
              <w:rPr>
                <w:rFonts w:ascii="Times New Roman" w:eastAsia="Times New Roman" w:hAnsi="Times New Roman" w:cs="Times New Roman"/>
                <w:i/>
              </w:rPr>
            </w:pPr>
            <w:r>
              <w:rPr>
                <w:rFonts w:ascii="Times New Roman" w:eastAsia="Times New Roman" w:hAnsi="Times New Roman" w:cs="Times New Roman"/>
                <w:i/>
              </w:rPr>
              <w:t>Zona 3</w:t>
            </w:r>
          </w:p>
        </w:tc>
        <w:tc>
          <w:tcPr>
            <w:tcW w:w="1245" w:type="dxa"/>
            <w:tcBorders>
              <w:top w:val="single" w:sz="8" w:space="0" w:color="000000"/>
              <w:left w:val="none" w:sz="0" w:space="0" w:color="000000"/>
              <w:bottom w:val="single" w:sz="8" w:space="0" w:color="000000"/>
              <w:right w:val="single" w:sz="8" w:space="0" w:color="000000"/>
            </w:tcBorders>
            <w:tcMar>
              <w:top w:w="100" w:type="dxa"/>
              <w:left w:w="80" w:type="dxa"/>
              <w:bottom w:w="100" w:type="dxa"/>
              <w:right w:w="80" w:type="dxa"/>
            </w:tcMar>
          </w:tcPr>
          <w:p w14:paraId="4EC67A03" w14:textId="77777777" w:rsidR="00826822" w:rsidRDefault="00522397">
            <w:pPr>
              <w:jc w:val="center"/>
              <w:rPr>
                <w:rFonts w:ascii="Times New Roman" w:eastAsia="Times New Roman" w:hAnsi="Times New Roman" w:cs="Times New Roman"/>
                <w:i/>
              </w:rPr>
            </w:pPr>
            <w:r>
              <w:rPr>
                <w:rFonts w:ascii="Times New Roman" w:eastAsia="Times New Roman" w:hAnsi="Times New Roman" w:cs="Times New Roman"/>
                <w:i/>
              </w:rPr>
              <w:t>Zona 4</w:t>
            </w:r>
          </w:p>
        </w:tc>
      </w:tr>
      <w:tr w:rsidR="00826822" w14:paraId="3A75FAA4" w14:textId="77777777">
        <w:trPr>
          <w:trHeight w:val="770"/>
          <w:jc w:val="center"/>
        </w:trPr>
        <w:tc>
          <w:tcPr>
            <w:tcW w:w="1500" w:type="dxa"/>
            <w:vMerge w:val="restart"/>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4E9414E2" w14:textId="77777777" w:rsidR="00826822" w:rsidRDefault="00826822">
            <w:pPr>
              <w:jc w:val="center"/>
              <w:rPr>
                <w:rFonts w:ascii="Times New Roman" w:eastAsia="Times New Roman" w:hAnsi="Times New Roman" w:cs="Times New Roman"/>
              </w:rPr>
            </w:pPr>
          </w:p>
          <w:p w14:paraId="21F21199" w14:textId="77777777" w:rsidR="00826822" w:rsidRDefault="00826822">
            <w:pPr>
              <w:jc w:val="center"/>
              <w:rPr>
                <w:rFonts w:ascii="Times New Roman" w:eastAsia="Times New Roman" w:hAnsi="Times New Roman" w:cs="Times New Roman"/>
              </w:rPr>
            </w:pPr>
          </w:p>
          <w:p w14:paraId="5E99D8D9"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TARIFA FRACCIÓN DE 30 MINUTOS</w:t>
            </w:r>
          </w:p>
        </w:tc>
        <w:tc>
          <w:tcPr>
            <w:tcW w:w="1305" w:type="dxa"/>
            <w:vMerge w:val="restart"/>
            <w:tcBorders>
              <w:top w:val="none" w:sz="0" w:space="0" w:color="000000"/>
              <w:left w:val="none" w:sz="0" w:space="0" w:color="000000"/>
              <w:bottom w:val="single" w:sz="8" w:space="0" w:color="000000"/>
              <w:right w:val="single" w:sz="8" w:space="0" w:color="000000"/>
            </w:tcBorders>
            <w:tcMar>
              <w:top w:w="100" w:type="dxa"/>
              <w:left w:w="80" w:type="dxa"/>
              <w:bottom w:w="100" w:type="dxa"/>
              <w:right w:w="80" w:type="dxa"/>
            </w:tcMar>
          </w:tcPr>
          <w:p w14:paraId="4F20D47F"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Motocicleta</w:t>
            </w:r>
          </w:p>
        </w:tc>
        <w:tc>
          <w:tcPr>
            <w:tcW w:w="1245" w:type="dxa"/>
            <w:tcBorders>
              <w:top w:val="none" w:sz="0" w:space="0" w:color="000000"/>
              <w:left w:val="none" w:sz="0" w:space="0" w:color="000000"/>
              <w:bottom w:val="single" w:sz="8" w:space="0" w:color="000000"/>
              <w:right w:val="single" w:sz="8" w:space="0" w:color="000000"/>
            </w:tcBorders>
            <w:tcMar>
              <w:top w:w="100" w:type="dxa"/>
              <w:left w:w="80" w:type="dxa"/>
              <w:bottom w:w="100" w:type="dxa"/>
              <w:right w:w="80" w:type="dxa"/>
            </w:tcMar>
          </w:tcPr>
          <w:p w14:paraId="3984F9E8" w14:textId="77777777" w:rsidR="00826822" w:rsidRDefault="00522397">
            <w:pPr>
              <w:jc w:val="center"/>
              <w:rPr>
                <w:rFonts w:ascii="Times New Roman" w:eastAsia="Times New Roman" w:hAnsi="Times New Roman" w:cs="Times New Roman"/>
              </w:rPr>
            </w:pPr>
            <w:proofErr w:type="gramStart"/>
            <w:r>
              <w:rPr>
                <w:rFonts w:ascii="Times New Roman" w:eastAsia="Times New Roman" w:hAnsi="Times New Roman" w:cs="Times New Roman"/>
              </w:rPr>
              <w:t>Corta  (</w:t>
            </w:r>
            <w:proofErr w:type="gramEnd"/>
            <w:r>
              <w:rPr>
                <w:rFonts w:ascii="Times New Roman" w:eastAsia="Times New Roman" w:hAnsi="Times New Roman" w:cs="Times New Roman"/>
              </w:rPr>
              <w:t>&lt;120min)</w:t>
            </w:r>
          </w:p>
        </w:tc>
        <w:tc>
          <w:tcPr>
            <w:tcW w:w="1230" w:type="dxa"/>
            <w:tcBorders>
              <w:top w:val="none" w:sz="0" w:space="0" w:color="000000"/>
              <w:left w:val="none" w:sz="0" w:space="0" w:color="000000"/>
              <w:bottom w:val="single" w:sz="8" w:space="0" w:color="000000"/>
              <w:right w:val="single" w:sz="8" w:space="0" w:color="000000"/>
            </w:tcBorders>
            <w:tcMar>
              <w:top w:w="100" w:type="dxa"/>
              <w:left w:w="80" w:type="dxa"/>
              <w:bottom w:w="100" w:type="dxa"/>
              <w:right w:w="80" w:type="dxa"/>
            </w:tcMar>
          </w:tcPr>
          <w:p w14:paraId="3D741718"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$2,100</w:t>
            </w:r>
          </w:p>
        </w:tc>
        <w:tc>
          <w:tcPr>
            <w:tcW w:w="1245" w:type="dxa"/>
            <w:tcBorders>
              <w:top w:val="none" w:sz="0" w:space="0" w:color="000000"/>
              <w:left w:val="none" w:sz="0" w:space="0" w:color="000000"/>
              <w:bottom w:val="single" w:sz="8" w:space="0" w:color="000000"/>
              <w:right w:val="single" w:sz="8" w:space="0" w:color="000000"/>
            </w:tcBorders>
            <w:tcMar>
              <w:top w:w="100" w:type="dxa"/>
              <w:left w:w="80" w:type="dxa"/>
              <w:bottom w:w="100" w:type="dxa"/>
              <w:right w:w="80" w:type="dxa"/>
            </w:tcMar>
          </w:tcPr>
          <w:p w14:paraId="29A6B715"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$1,800</w:t>
            </w:r>
          </w:p>
        </w:tc>
        <w:tc>
          <w:tcPr>
            <w:tcW w:w="1185" w:type="dxa"/>
            <w:tcBorders>
              <w:top w:val="none" w:sz="0" w:space="0" w:color="000000"/>
              <w:left w:val="none" w:sz="0" w:space="0" w:color="000000"/>
              <w:bottom w:val="single" w:sz="8" w:space="0" w:color="000000"/>
              <w:right w:val="single" w:sz="8" w:space="0" w:color="000000"/>
            </w:tcBorders>
            <w:tcMar>
              <w:top w:w="100" w:type="dxa"/>
              <w:left w:w="80" w:type="dxa"/>
              <w:bottom w:w="100" w:type="dxa"/>
              <w:right w:w="80" w:type="dxa"/>
            </w:tcMar>
          </w:tcPr>
          <w:p w14:paraId="7BCA5F6A"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$2,000</w:t>
            </w:r>
          </w:p>
        </w:tc>
        <w:tc>
          <w:tcPr>
            <w:tcW w:w="1245" w:type="dxa"/>
            <w:tcBorders>
              <w:top w:val="none" w:sz="0" w:space="0" w:color="000000"/>
              <w:left w:val="none" w:sz="0" w:space="0" w:color="000000"/>
              <w:bottom w:val="single" w:sz="8" w:space="0" w:color="000000"/>
              <w:right w:val="single" w:sz="8" w:space="0" w:color="000000"/>
            </w:tcBorders>
            <w:tcMar>
              <w:top w:w="100" w:type="dxa"/>
              <w:left w:w="80" w:type="dxa"/>
              <w:bottom w:w="100" w:type="dxa"/>
              <w:right w:w="80" w:type="dxa"/>
            </w:tcMar>
          </w:tcPr>
          <w:p w14:paraId="1DBB6DF4"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$2,200</w:t>
            </w:r>
          </w:p>
        </w:tc>
      </w:tr>
      <w:tr w:rsidR="00826822" w14:paraId="2523D0A3" w14:textId="77777777">
        <w:trPr>
          <w:trHeight w:val="770"/>
          <w:jc w:val="center"/>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B1D269D" w14:textId="77777777" w:rsidR="00826822" w:rsidRDefault="00826822">
            <w:pPr>
              <w:spacing w:line="240" w:lineRule="auto"/>
              <w:jc w:val="both"/>
              <w:rPr>
                <w:rFonts w:ascii="Times New Roman" w:eastAsia="Times New Roman" w:hAnsi="Times New Roman" w:cs="Times New Roman"/>
              </w:rPr>
            </w:pPr>
          </w:p>
        </w:tc>
        <w:tc>
          <w:tcPr>
            <w:tcW w:w="130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5F485B" w14:textId="77777777" w:rsidR="00826822" w:rsidRDefault="00826822">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4A676D13"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Larga (&gt;120min)</w:t>
            </w:r>
          </w:p>
        </w:tc>
        <w:tc>
          <w:tcPr>
            <w:tcW w:w="1230"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7CD05D92"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$3,200</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60A2AAEA"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$2,800</w:t>
            </w:r>
          </w:p>
        </w:tc>
        <w:tc>
          <w:tcPr>
            <w:tcW w:w="118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5B83BD08"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$3,000</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67F7B691"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$3,300</w:t>
            </w:r>
          </w:p>
        </w:tc>
      </w:tr>
      <w:tr w:rsidR="00826822" w14:paraId="392E9FDF" w14:textId="77777777">
        <w:trPr>
          <w:trHeight w:val="770"/>
          <w:jc w:val="center"/>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07CFA2" w14:textId="77777777" w:rsidR="00826822" w:rsidRDefault="00826822">
            <w:pPr>
              <w:spacing w:line="240" w:lineRule="auto"/>
              <w:jc w:val="both"/>
              <w:rPr>
                <w:rFonts w:ascii="Times New Roman" w:eastAsia="Times New Roman" w:hAnsi="Times New Roman" w:cs="Times New Roman"/>
              </w:rPr>
            </w:pPr>
          </w:p>
        </w:tc>
        <w:tc>
          <w:tcPr>
            <w:tcW w:w="1305" w:type="dxa"/>
            <w:vMerge w:val="restart"/>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48B57290"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Automóvil, campero o camioneta</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73F8C9B0"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Corta (&lt;120min)</w:t>
            </w:r>
          </w:p>
        </w:tc>
        <w:tc>
          <w:tcPr>
            <w:tcW w:w="1230"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2A5E5ACD"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$3,000</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00CE39AD"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$2,600</w:t>
            </w:r>
          </w:p>
        </w:tc>
        <w:tc>
          <w:tcPr>
            <w:tcW w:w="118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0287551A"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$2,800</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1CD88337"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$3,100</w:t>
            </w:r>
          </w:p>
        </w:tc>
      </w:tr>
      <w:tr w:rsidR="00826822" w14:paraId="3F2E125C" w14:textId="77777777">
        <w:trPr>
          <w:trHeight w:val="770"/>
          <w:jc w:val="center"/>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CB7F2C2" w14:textId="77777777" w:rsidR="00826822" w:rsidRDefault="00826822">
            <w:pPr>
              <w:spacing w:line="240" w:lineRule="auto"/>
              <w:jc w:val="both"/>
              <w:rPr>
                <w:rFonts w:ascii="Times New Roman" w:eastAsia="Times New Roman" w:hAnsi="Times New Roman" w:cs="Times New Roman"/>
              </w:rPr>
            </w:pPr>
          </w:p>
        </w:tc>
        <w:tc>
          <w:tcPr>
            <w:tcW w:w="130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7E8DC3C" w14:textId="77777777" w:rsidR="00826822" w:rsidRDefault="00826822">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4B55C8E1"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Larga (&gt;120min)</w:t>
            </w:r>
          </w:p>
        </w:tc>
        <w:tc>
          <w:tcPr>
            <w:tcW w:w="1230"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35084CD6"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$4,600</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1A787334"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$4,000</w:t>
            </w:r>
          </w:p>
        </w:tc>
        <w:tc>
          <w:tcPr>
            <w:tcW w:w="118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19E853FB"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$4,300</w:t>
            </w:r>
          </w:p>
        </w:tc>
        <w:tc>
          <w:tcPr>
            <w:tcW w:w="1245" w:type="dxa"/>
            <w:tcBorders>
              <w:top w:val="none" w:sz="0" w:space="0" w:color="000000"/>
              <w:left w:val="none" w:sz="0" w:space="0" w:color="000000"/>
              <w:bottom w:val="single" w:sz="8" w:space="0" w:color="000000"/>
              <w:right w:val="single" w:sz="8" w:space="0" w:color="000000"/>
            </w:tcBorders>
            <w:shd w:val="clear" w:color="auto" w:fill="auto"/>
            <w:tcMar>
              <w:top w:w="100" w:type="dxa"/>
              <w:left w:w="80" w:type="dxa"/>
              <w:bottom w:w="100" w:type="dxa"/>
              <w:right w:w="80" w:type="dxa"/>
            </w:tcMar>
          </w:tcPr>
          <w:p w14:paraId="00EA7F9B" w14:textId="77777777" w:rsidR="00826822" w:rsidRDefault="00522397">
            <w:pPr>
              <w:jc w:val="center"/>
              <w:rPr>
                <w:rFonts w:ascii="Times New Roman" w:eastAsia="Times New Roman" w:hAnsi="Times New Roman" w:cs="Times New Roman"/>
              </w:rPr>
            </w:pPr>
            <w:r>
              <w:rPr>
                <w:rFonts w:ascii="Times New Roman" w:eastAsia="Times New Roman" w:hAnsi="Times New Roman" w:cs="Times New Roman"/>
              </w:rPr>
              <w:t>$4,700</w:t>
            </w:r>
          </w:p>
        </w:tc>
      </w:tr>
    </w:tbl>
    <w:p w14:paraId="65831DFA" w14:textId="77777777" w:rsidR="00826822" w:rsidRDefault="00522397">
      <w:pPr>
        <w:jc w:val="center"/>
        <w:rPr>
          <w:rFonts w:ascii="Times New Roman" w:eastAsia="Times New Roman" w:hAnsi="Times New Roman" w:cs="Times New Roman"/>
          <w:shd w:val="clear" w:color="F5F5F5" w:fill="F5F5F5"/>
        </w:rPr>
      </w:pPr>
      <w:r>
        <w:rPr>
          <w:rFonts w:ascii="Times New Roman" w:eastAsia="Times New Roman" w:hAnsi="Times New Roman" w:cs="Times New Roman"/>
        </w:rPr>
        <w:t xml:space="preserve"> </w:t>
      </w:r>
      <w:r>
        <w:rPr>
          <w:rFonts w:ascii="Times New Roman" w:eastAsia="Times New Roman" w:hAnsi="Times New Roman" w:cs="Times New Roman"/>
          <w:shd w:val="clear" w:color="F5F5F5" w:fill="F5F5F5"/>
        </w:rPr>
        <w:t>*valores expresados en pesos de 2021.</w:t>
      </w:r>
    </w:p>
    <w:p w14:paraId="7221DADB" w14:textId="77777777" w:rsidR="00826822" w:rsidRDefault="00826822">
      <w:pPr>
        <w:spacing w:line="240" w:lineRule="auto"/>
        <w:jc w:val="both"/>
        <w:rPr>
          <w:rFonts w:ascii="Times New Roman" w:eastAsia="Times New Roman" w:hAnsi="Times New Roman" w:cs="Times New Roman"/>
        </w:rPr>
      </w:pPr>
    </w:p>
    <w:p w14:paraId="17D5F800" w14:textId="77777777" w:rsidR="00826822" w:rsidRDefault="00522397">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4°. Supervisión, vigilancia y control. </w:t>
      </w:r>
      <w:r>
        <w:rPr>
          <w:rFonts w:ascii="Times New Roman" w:eastAsia="Times New Roman" w:hAnsi="Times New Roman" w:cs="Times New Roman"/>
        </w:rPr>
        <w:t>Las autoridades de inspección, vigilancia y control garantizarán el cumplimiento de la medida adoptada en el presente acto administrativo.</w:t>
      </w:r>
    </w:p>
    <w:p w14:paraId="0697D5F8" w14:textId="77777777" w:rsidR="00826822" w:rsidRDefault="00826822">
      <w:pPr>
        <w:spacing w:line="240" w:lineRule="auto"/>
        <w:jc w:val="both"/>
        <w:rPr>
          <w:rFonts w:ascii="Times New Roman" w:eastAsia="Times New Roman" w:hAnsi="Times New Roman" w:cs="Times New Roman"/>
        </w:rPr>
      </w:pPr>
    </w:p>
    <w:p w14:paraId="09F846E4" w14:textId="77777777" w:rsidR="00826822" w:rsidRDefault="00522397">
      <w:pPr>
        <w:spacing w:line="240" w:lineRule="auto"/>
        <w:jc w:val="both"/>
        <w:rPr>
          <w:rFonts w:ascii="Times New Roman" w:eastAsia="Times New Roman" w:hAnsi="Times New Roman" w:cs="Times New Roman"/>
        </w:rPr>
      </w:pPr>
      <w:r>
        <w:rPr>
          <w:rFonts w:ascii="Times New Roman" w:eastAsia="Times New Roman" w:hAnsi="Times New Roman" w:cs="Times New Roman"/>
          <w:b/>
        </w:rPr>
        <w:t>Artículo 5º</w:t>
      </w:r>
      <w:r>
        <w:rPr>
          <w:rFonts w:ascii="Times New Roman" w:eastAsia="Times New Roman" w:hAnsi="Times New Roman" w:cs="Times New Roman"/>
        </w:rPr>
        <w:t xml:space="preserve">. </w:t>
      </w:r>
      <w:r>
        <w:rPr>
          <w:rFonts w:ascii="Times New Roman" w:eastAsia="Times New Roman" w:hAnsi="Times New Roman" w:cs="Times New Roman"/>
          <w:b/>
        </w:rPr>
        <w:t xml:space="preserve">Vigencia. </w:t>
      </w:r>
      <w:r>
        <w:rPr>
          <w:rFonts w:ascii="Times New Roman" w:eastAsia="Times New Roman" w:hAnsi="Times New Roman" w:cs="Times New Roman"/>
        </w:rPr>
        <w:t xml:space="preserve"> La pr</w:t>
      </w:r>
      <w:r>
        <w:rPr>
          <w:rFonts w:ascii="Times New Roman" w:eastAsia="Times New Roman" w:hAnsi="Times New Roman" w:cs="Times New Roman"/>
        </w:rPr>
        <w:t xml:space="preserve">esente resolución rige a partir de su publicación en el Registro Distrital   de conformidad con lo señalado en el artículo 65 de la Ley 1437 de 2011. </w:t>
      </w:r>
    </w:p>
    <w:p w14:paraId="14C44A5C" w14:textId="77777777" w:rsidR="00826822" w:rsidRDefault="00826822">
      <w:pPr>
        <w:keepNext/>
        <w:spacing w:line="240" w:lineRule="auto"/>
        <w:ind w:right="-142"/>
        <w:rPr>
          <w:rFonts w:ascii="Times New Roman" w:eastAsia="Times New Roman" w:hAnsi="Times New Roman" w:cs="Times New Roman"/>
        </w:rPr>
      </w:pPr>
    </w:p>
    <w:p w14:paraId="4965615F" w14:textId="77777777" w:rsidR="00826822" w:rsidRDefault="00522397">
      <w:pPr>
        <w:keepNext/>
        <w:spacing w:line="240" w:lineRule="auto"/>
        <w:ind w:left="-425" w:right="-142"/>
        <w:jc w:val="center"/>
        <w:rPr>
          <w:rFonts w:ascii="Times New Roman" w:eastAsia="Times New Roman" w:hAnsi="Times New Roman" w:cs="Times New Roman"/>
        </w:rPr>
      </w:pPr>
      <w:r>
        <w:rPr>
          <w:rFonts w:ascii="Times New Roman" w:eastAsia="Times New Roman" w:hAnsi="Times New Roman" w:cs="Times New Roman"/>
          <w:b/>
        </w:rPr>
        <w:t>PUBLÍQUESE Y CÚMPLASE</w:t>
      </w:r>
    </w:p>
    <w:p w14:paraId="51554AF5" w14:textId="77777777" w:rsidR="00826822" w:rsidRDefault="00826822">
      <w:pPr>
        <w:keepNext/>
        <w:spacing w:line="240" w:lineRule="auto"/>
        <w:ind w:left="-425" w:right="-142"/>
        <w:jc w:val="center"/>
        <w:rPr>
          <w:rFonts w:ascii="Times New Roman" w:eastAsia="Times New Roman" w:hAnsi="Times New Roman" w:cs="Times New Roman"/>
        </w:rPr>
      </w:pPr>
    </w:p>
    <w:p w14:paraId="502983DA" w14:textId="77777777" w:rsidR="00826822" w:rsidRDefault="00826822">
      <w:pPr>
        <w:keepNext/>
        <w:spacing w:line="240" w:lineRule="auto"/>
        <w:ind w:left="-425" w:right="-142"/>
        <w:jc w:val="center"/>
        <w:rPr>
          <w:rFonts w:ascii="Times New Roman" w:eastAsia="Times New Roman" w:hAnsi="Times New Roman" w:cs="Times New Roman"/>
        </w:rPr>
      </w:pPr>
    </w:p>
    <w:p w14:paraId="63B41CC8" w14:textId="77777777" w:rsidR="00826822" w:rsidRDefault="00522397">
      <w:pPr>
        <w:keepNext/>
        <w:spacing w:line="240" w:lineRule="auto"/>
        <w:ind w:left="-425" w:right="-142"/>
        <w:rPr>
          <w:rFonts w:ascii="Times New Roman" w:eastAsia="Times New Roman" w:hAnsi="Times New Roman" w:cs="Times New Roman"/>
        </w:rPr>
      </w:pPr>
      <w:r>
        <w:rPr>
          <w:rFonts w:ascii="Times New Roman" w:eastAsia="Times New Roman" w:hAnsi="Times New Roman" w:cs="Times New Roman"/>
        </w:rPr>
        <w:t>Dada en Bogotá D. C. a los</w:t>
      </w:r>
    </w:p>
    <w:p w14:paraId="0FC115A7" w14:textId="77777777" w:rsidR="00826822" w:rsidRDefault="00826822">
      <w:pPr>
        <w:spacing w:line="240" w:lineRule="auto"/>
        <w:jc w:val="center"/>
        <w:rPr>
          <w:rFonts w:ascii="Times New Roman" w:eastAsia="Times New Roman" w:hAnsi="Times New Roman" w:cs="Times New Roman"/>
        </w:rPr>
      </w:pPr>
    </w:p>
    <w:p w14:paraId="7D6857D8" w14:textId="77777777" w:rsidR="00826822" w:rsidRDefault="00826822">
      <w:pPr>
        <w:spacing w:line="240" w:lineRule="auto"/>
        <w:jc w:val="center"/>
        <w:rPr>
          <w:rFonts w:ascii="Times New Roman" w:eastAsia="Times New Roman" w:hAnsi="Times New Roman" w:cs="Times New Roman"/>
        </w:rPr>
      </w:pPr>
    </w:p>
    <w:p w14:paraId="26FEF1CE" w14:textId="77777777" w:rsidR="00826822" w:rsidRDefault="00826822">
      <w:pPr>
        <w:spacing w:line="240" w:lineRule="auto"/>
        <w:jc w:val="center"/>
        <w:rPr>
          <w:rFonts w:ascii="Times New Roman" w:eastAsia="Times New Roman" w:hAnsi="Times New Roman" w:cs="Times New Roman"/>
        </w:rPr>
      </w:pPr>
    </w:p>
    <w:p w14:paraId="1D8F3AE3" w14:textId="77777777" w:rsidR="00826822" w:rsidRDefault="00522397">
      <w:pPr>
        <w:tabs>
          <w:tab w:val="left" w:pos="5774"/>
        </w:tabs>
        <w:spacing w:line="240" w:lineRule="auto"/>
        <w:rPr>
          <w:rFonts w:ascii="Times New Roman" w:eastAsia="Times New Roman" w:hAnsi="Times New Roman" w:cs="Times New Roman"/>
        </w:rPr>
      </w:pPr>
      <w:r>
        <w:rPr>
          <w:rFonts w:ascii="Times New Roman" w:eastAsia="Times New Roman" w:hAnsi="Times New Roman" w:cs="Times New Roman"/>
        </w:rPr>
        <w:tab/>
      </w:r>
    </w:p>
    <w:p w14:paraId="1AD2E225" w14:textId="77777777" w:rsidR="00826822" w:rsidRDefault="00826822">
      <w:pPr>
        <w:spacing w:line="240" w:lineRule="auto"/>
        <w:jc w:val="center"/>
        <w:rPr>
          <w:rFonts w:ascii="Times New Roman" w:eastAsia="Times New Roman" w:hAnsi="Times New Roman" w:cs="Times New Roman"/>
        </w:rPr>
      </w:pPr>
    </w:p>
    <w:p w14:paraId="273A6A74" w14:textId="77777777" w:rsidR="00826822" w:rsidRDefault="00522397">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NICOLÁS FRANCISCO ESTUPIÑAN ALVARADO </w:t>
      </w:r>
    </w:p>
    <w:p w14:paraId="0712A2C9" w14:textId="77777777" w:rsidR="00826822" w:rsidRDefault="00522397">
      <w:pPr>
        <w:tabs>
          <w:tab w:val="left" w:pos="6285"/>
        </w:tabs>
        <w:spacing w:line="240" w:lineRule="auto"/>
        <w:jc w:val="center"/>
        <w:rPr>
          <w:rFonts w:ascii="Times New Roman" w:eastAsia="Times New Roman" w:hAnsi="Times New Roman" w:cs="Times New Roman"/>
        </w:rPr>
      </w:pPr>
      <w:r>
        <w:rPr>
          <w:rFonts w:ascii="Times New Roman" w:eastAsia="Times New Roman" w:hAnsi="Times New Roman" w:cs="Times New Roman"/>
        </w:rPr>
        <w:t>Secretario Distrital de Movilidad.</w:t>
      </w:r>
    </w:p>
    <w:p w14:paraId="70FBA6CC" w14:textId="77777777" w:rsidR="00826822" w:rsidRDefault="00826822">
      <w:pPr>
        <w:tabs>
          <w:tab w:val="left" w:pos="6285"/>
        </w:tabs>
        <w:spacing w:line="240" w:lineRule="auto"/>
        <w:jc w:val="center"/>
        <w:rPr>
          <w:rFonts w:ascii="Times New Roman" w:eastAsia="Times New Roman" w:hAnsi="Times New Roman" w:cs="Times New Roman"/>
        </w:rPr>
      </w:pPr>
    </w:p>
    <w:p w14:paraId="013ADFA4" w14:textId="77777777" w:rsidR="00826822" w:rsidRDefault="00826822">
      <w:pPr>
        <w:spacing w:line="240" w:lineRule="auto"/>
        <w:jc w:val="both"/>
        <w:rPr>
          <w:rFonts w:ascii="Times New Roman" w:eastAsia="Times New Roman" w:hAnsi="Times New Roman" w:cs="Times New Roman"/>
          <w:sz w:val="14"/>
          <w:szCs w:val="14"/>
        </w:rPr>
      </w:pPr>
    </w:p>
    <w:p w14:paraId="4AA2500C"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Aprobó:   J</w:t>
      </w:r>
      <w:commentRangeStart w:id="0"/>
      <w:r>
        <w:rPr>
          <w:rFonts w:ascii="Times New Roman" w:eastAsia="Times New Roman" w:hAnsi="Times New Roman" w:cs="Times New Roman"/>
          <w:sz w:val="14"/>
          <w:szCs w:val="14"/>
        </w:rPr>
        <w:t xml:space="preserve">uan Esteban Martínez </w:t>
      </w:r>
      <w:commentRangeEnd w:id="0"/>
      <w:r>
        <w:commentReference w:id="0"/>
      </w:r>
      <w:r>
        <w:rPr>
          <w:rFonts w:ascii="Times New Roman" w:eastAsia="Times New Roman" w:hAnsi="Times New Roman" w:cs="Times New Roman"/>
          <w:sz w:val="14"/>
          <w:szCs w:val="14"/>
        </w:rPr>
        <w:t>- Subsecretario de Política de Movilidad</w:t>
      </w:r>
    </w:p>
    <w:p w14:paraId="504E7A4F"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Ingrid Carolina Silva </w:t>
      </w:r>
      <w:proofErr w:type="spellStart"/>
      <w:r>
        <w:rPr>
          <w:rFonts w:ascii="Times New Roman" w:eastAsia="Times New Roman" w:hAnsi="Times New Roman" w:cs="Times New Roman"/>
          <w:sz w:val="14"/>
          <w:szCs w:val="14"/>
        </w:rPr>
        <w:t>Rodriguez</w:t>
      </w:r>
      <w:proofErr w:type="spellEnd"/>
      <w:r>
        <w:rPr>
          <w:rFonts w:ascii="Times New Roman" w:eastAsia="Times New Roman" w:hAnsi="Times New Roman" w:cs="Times New Roman"/>
          <w:sz w:val="14"/>
          <w:szCs w:val="14"/>
        </w:rPr>
        <w:t xml:space="preserve">- Subsecretaría de Gestión </w:t>
      </w:r>
      <w:commentRangeStart w:id="1"/>
      <w:r>
        <w:rPr>
          <w:rFonts w:ascii="Times New Roman" w:eastAsia="Times New Roman" w:hAnsi="Times New Roman" w:cs="Times New Roman"/>
          <w:sz w:val="14"/>
          <w:szCs w:val="14"/>
        </w:rPr>
        <w:t>Jurídica</w:t>
      </w:r>
      <w:commentRangeEnd w:id="1"/>
      <w:r>
        <w:commentReference w:id="1"/>
      </w:r>
    </w:p>
    <w:p w14:paraId="2011A382"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14"/>
          <w:szCs w:val="14"/>
        </w:rPr>
        <w:t>Jonny</w:t>
      </w:r>
      <w:proofErr w:type="spellEnd"/>
      <w:r>
        <w:rPr>
          <w:rFonts w:ascii="Times New Roman" w:eastAsia="Times New Roman" w:hAnsi="Times New Roman" w:cs="Times New Roman"/>
          <w:sz w:val="14"/>
          <w:szCs w:val="14"/>
        </w:rPr>
        <w:t xml:space="preserve"> Leonardo Vásquez Escobar - Subsecretario de Gestión de la Mov</w:t>
      </w:r>
      <w:commentRangeStart w:id="2"/>
      <w:commentRangeStart w:id="3"/>
      <w:r>
        <w:rPr>
          <w:rFonts w:ascii="Times New Roman" w:eastAsia="Times New Roman" w:hAnsi="Times New Roman" w:cs="Times New Roman"/>
          <w:sz w:val="14"/>
          <w:szCs w:val="14"/>
        </w:rPr>
        <w:t>ilidad</w:t>
      </w:r>
      <w:commentRangeEnd w:id="2"/>
      <w:r>
        <w:commentReference w:id="2"/>
      </w:r>
      <w:commentRangeEnd w:id="3"/>
      <w:r>
        <w:commentReference w:id="3"/>
      </w:r>
    </w:p>
    <w:p w14:paraId="582A3894" w14:textId="77777777" w:rsidR="00826822" w:rsidRDefault="00826822">
      <w:pPr>
        <w:spacing w:line="240" w:lineRule="auto"/>
        <w:jc w:val="both"/>
        <w:rPr>
          <w:rFonts w:ascii="Times New Roman" w:eastAsia="Times New Roman" w:hAnsi="Times New Roman" w:cs="Times New Roman"/>
          <w:sz w:val="14"/>
          <w:szCs w:val="14"/>
        </w:rPr>
      </w:pPr>
    </w:p>
    <w:p w14:paraId="66C95CFB"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Revisó:    Claudia Montoya C - </w:t>
      </w:r>
      <w:proofErr w:type="gramStart"/>
      <w:r>
        <w:rPr>
          <w:rFonts w:ascii="Times New Roman" w:eastAsia="Times New Roman" w:hAnsi="Times New Roman" w:cs="Times New Roman"/>
          <w:sz w:val="14"/>
          <w:szCs w:val="14"/>
        </w:rPr>
        <w:t>Directora</w:t>
      </w:r>
      <w:proofErr w:type="gramEnd"/>
      <w:r>
        <w:rPr>
          <w:rFonts w:ascii="Times New Roman" w:eastAsia="Times New Roman" w:hAnsi="Times New Roman" w:cs="Times New Roman"/>
          <w:sz w:val="14"/>
          <w:szCs w:val="14"/>
        </w:rPr>
        <w:t xml:space="preserve"> de Normatividad y Co</w:t>
      </w:r>
      <w:commentRangeStart w:id="4"/>
      <w:r>
        <w:rPr>
          <w:rFonts w:ascii="Times New Roman" w:eastAsia="Times New Roman" w:hAnsi="Times New Roman" w:cs="Times New Roman"/>
          <w:sz w:val="14"/>
          <w:szCs w:val="14"/>
        </w:rPr>
        <w:t>nceptos</w:t>
      </w:r>
      <w:commentRangeEnd w:id="4"/>
      <w:r>
        <w:commentReference w:id="4"/>
      </w:r>
      <w:r>
        <w:rPr>
          <w:rFonts w:ascii="Times New Roman" w:eastAsia="Times New Roman" w:hAnsi="Times New Roman" w:cs="Times New Roman"/>
          <w:sz w:val="14"/>
          <w:szCs w:val="14"/>
        </w:rPr>
        <w:t xml:space="preserve"> </w:t>
      </w:r>
    </w:p>
    <w:p w14:paraId="7D8A9265"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commentRangeStart w:id="5"/>
      <w:r>
        <w:rPr>
          <w:rFonts w:ascii="Times New Roman" w:eastAsia="Times New Roman" w:hAnsi="Times New Roman" w:cs="Times New Roman"/>
          <w:sz w:val="14"/>
          <w:szCs w:val="14"/>
        </w:rPr>
        <w:t xml:space="preserve">   Lina Marcela Quiñones - </w:t>
      </w:r>
      <w:proofErr w:type="gramStart"/>
      <w:r>
        <w:rPr>
          <w:rFonts w:ascii="Times New Roman" w:eastAsia="Times New Roman" w:hAnsi="Times New Roman" w:cs="Times New Roman"/>
          <w:sz w:val="14"/>
          <w:szCs w:val="14"/>
        </w:rPr>
        <w:t>Directora</w:t>
      </w:r>
      <w:proofErr w:type="gramEnd"/>
      <w:r>
        <w:rPr>
          <w:rFonts w:ascii="Times New Roman" w:eastAsia="Times New Roman" w:hAnsi="Times New Roman" w:cs="Times New Roman"/>
          <w:sz w:val="14"/>
          <w:szCs w:val="14"/>
        </w:rPr>
        <w:t xml:space="preserve"> de Inteligencia de la Movilidad</w:t>
      </w:r>
      <w:commentRangeEnd w:id="5"/>
      <w:r>
        <w:commentReference w:id="5"/>
      </w:r>
    </w:p>
    <w:p w14:paraId="71154766"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commentRangeStart w:id="6"/>
      <w:r>
        <w:rPr>
          <w:rFonts w:ascii="Times New Roman" w:eastAsia="Times New Roman" w:hAnsi="Times New Roman" w:cs="Times New Roman"/>
          <w:sz w:val="14"/>
          <w:szCs w:val="14"/>
        </w:rPr>
        <w:t xml:space="preserve">    Javier </w:t>
      </w:r>
      <w:proofErr w:type="spellStart"/>
      <w:r>
        <w:rPr>
          <w:rFonts w:ascii="Times New Roman" w:eastAsia="Times New Roman" w:hAnsi="Times New Roman" w:cs="Times New Roman"/>
          <w:sz w:val="14"/>
          <w:szCs w:val="14"/>
        </w:rPr>
        <w:t>Henández</w:t>
      </w:r>
      <w:proofErr w:type="spellEnd"/>
      <w:r>
        <w:rPr>
          <w:rFonts w:ascii="Times New Roman" w:eastAsia="Times New Roman" w:hAnsi="Times New Roman" w:cs="Times New Roman"/>
          <w:sz w:val="14"/>
          <w:szCs w:val="14"/>
        </w:rPr>
        <w:t xml:space="preserve"> - </w:t>
      </w:r>
      <w:proofErr w:type="spellStart"/>
      <w:r>
        <w:rPr>
          <w:rFonts w:ascii="Times New Roman" w:eastAsia="Times New Roman" w:hAnsi="Times New Roman" w:cs="Times New Roman"/>
          <w:sz w:val="14"/>
          <w:szCs w:val="14"/>
        </w:rPr>
        <w:t>Hernánde</w:t>
      </w:r>
      <w:proofErr w:type="spellEnd"/>
      <w:r>
        <w:rPr>
          <w:rFonts w:ascii="Times New Roman" w:eastAsia="Times New Roman" w:hAnsi="Times New Roman" w:cs="Times New Roman"/>
          <w:sz w:val="14"/>
          <w:szCs w:val="14"/>
        </w:rPr>
        <w:t xml:space="preserve"> López &amp; Asociados - Contratista</w:t>
      </w:r>
      <w:commentRangeEnd w:id="6"/>
      <w:r>
        <w:commentReference w:id="6"/>
      </w:r>
    </w:p>
    <w:p w14:paraId="1D2272DF"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                 Jenny Abril - Asesora </w:t>
      </w:r>
      <w:commentRangeStart w:id="7"/>
      <w:r>
        <w:rPr>
          <w:rFonts w:ascii="Times New Roman" w:eastAsia="Times New Roman" w:hAnsi="Times New Roman" w:cs="Times New Roman"/>
          <w:sz w:val="14"/>
          <w:szCs w:val="14"/>
        </w:rPr>
        <w:t>Despacho</w:t>
      </w:r>
      <w:commentRangeEnd w:id="7"/>
      <w:r>
        <w:commentReference w:id="7"/>
      </w:r>
    </w:p>
    <w:p w14:paraId="2F2B195A"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commentRangeStart w:id="8"/>
      <w:r>
        <w:rPr>
          <w:rFonts w:ascii="Times New Roman" w:eastAsia="Times New Roman" w:hAnsi="Times New Roman" w:cs="Times New Roman"/>
          <w:sz w:val="14"/>
          <w:szCs w:val="14"/>
        </w:rPr>
        <w:t xml:space="preserve">          Gina Salazar L-Asesora Despacho</w:t>
      </w:r>
      <w:commentRangeEnd w:id="8"/>
      <w:r>
        <w:commentReference w:id="8"/>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p>
    <w:p w14:paraId="5B133759" w14:textId="77777777" w:rsidR="00826822" w:rsidRDefault="00826822">
      <w:pPr>
        <w:spacing w:line="240" w:lineRule="auto"/>
        <w:ind w:firstLine="708"/>
        <w:jc w:val="both"/>
        <w:rPr>
          <w:rFonts w:ascii="Times New Roman" w:eastAsia="Times New Roman" w:hAnsi="Times New Roman" w:cs="Times New Roman"/>
          <w:sz w:val="14"/>
          <w:szCs w:val="14"/>
        </w:rPr>
      </w:pPr>
    </w:p>
    <w:p w14:paraId="0B3F4493"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Proyectó:  Lina </w:t>
      </w:r>
      <w:proofErr w:type="gramStart"/>
      <w:r>
        <w:rPr>
          <w:rFonts w:ascii="Times New Roman" w:eastAsia="Times New Roman" w:hAnsi="Times New Roman" w:cs="Times New Roman"/>
          <w:sz w:val="14"/>
          <w:szCs w:val="14"/>
        </w:rPr>
        <w:t>Marcela  Henao</w:t>
      </w:r>
      <w:proofErr w:type="gramEnd"/>
      <w:r>
        <w:rPr>
          <w:rFonts w:ascii="Times New Roman" w:eastAsia="Times New Roman" w:hAnsi="Times New Roman" w:cs="Times New Roman"/>
          <w:sz w:val="14"/>
          <w:szCs w:val="14"/>
        </w:rPr>
        <w:t xml:space="preserve"> Martínez - Subsecretaría de Gestión </w:t>
      </w:r>
      <w:commentRangeStart w:id="9"/>
      <w:r>
        <w:rPr>
          <w:rFonts w:ascii="Times New Roman" w:eastAsia="Times New Roman" w:hAnsi="Times New Roman" w:cs="Times New Roman"/>
          <w:sz w:val="14"/>
          <w:szCs w:val="14"/>
        </w:rPr>
        <w:t>de la Movilidad</w:t>
      </w:r>
      <w:commentRangeEnd w:id="9"/>
      <w:r>
        <w:commentReference w:id="9"/>
      </w:r>
    </w:p>
    <w:p w14:paraId="665F275A"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Alan Anaya - Dirección Normatividad y Con</w:t>
      </w:r>
      <w:commentRangeStart w:id="10"/>
      <w:r>
        <w:rPr>
          <w:rFonts w:ascii="Times New Roman" w:eastAsia="Times New Roman" w:hAnsi="Times New Roman" w:cs="Times New Roman"/>
          <w:sz w:val="14"/>
          <w:szCs w:val="14"/>
        </w:rPr>
        <w:t>cepto</w:t>
      </w:r>
      <w:commentRangeEnd w:id="10"/>
      <w:r>
        <w:commentReference w:id="10"/>
      </w:r>
      <w:r>
        <w:rPr>
          <w:rFonts w:ascii="Times New Roman" w:eastAsia="Times New Roman" w:hAnsi="Times New Roman" w:cs="Times New Roman"/>
          <w:sz w:val="14"/>
          <w:szCs w:val="14"/>
        </w:rPr>
        <w:t>s</w:t>
      </w:r>
    </w:p>
    <w:p w14:paraId="1BC273B6"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Sandra Raquel Vega - Dirección de Inteligencia para la </w:t>
      </w:r>
      <w:commentRangeStart w:id="11"/>
      <w:r>
        <w:rPr>
          <w:rFonts w:ascii="Times New Roman" w:eastAsia="Times New Roman" w:hAnsi="Times New Roman" w:cs="Times New Roman"/>
          <w:sz w:val="14"/>
          <w:szCs w:val="14"/>
        </w:rPr>
        <w:t>Movilidad</w:t>
      </w:r>
      <w:commentRangeEnd w:id="11"/>
      <w:r>
        <w:commentReference w:id="11"/>
      </w:r>
    </w:p>
    <w:p w14:paraId="126E33A6" w14:textId="77777777" w:rsidR="00826822" w:rsidRDefault="00522397">
      <w:pPr>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Sandra Calderón - Subsecretaría de Política de </w:t>
      </w:r>
      <w:commentRangeStart w:id="12"/>
      <w:r>
        <w:rPr>
          <w:rFonts w:ascii="Times New Roman" w:eastAsia="Times New Roman" w:hAnsi="Times New Roman" w:cs="Times New Roman"/>
          <w:sz w:val="14"/>
          <w:szCs w:val="14"/>
        </w:rPr>
        <w:t>Movilidad</w:t>
      </w:r>
      <w:commentRangeEnd w:id="12"/>
      <w:r>
        <w:commentReference w:id="12"/>
      </w:r>
    </w:p>
    <w:p w14:paraId="6D1AF8F7" w14:textId="77777777" w:rsidR="00826822" w:rsidRDefault="00826822"/>
    <w:sectPr w:rsidR="00826822">
      <w:headerReference w:type="default" r:id="rId13"/>
      <w:footerReference w:type="default" r:id="rId14"/>
      <w:pgSz w:w="11909" w:h="16834"/>
      <w:pgMar w:top="1440" w:right="1440" w:bottom="1440" w:left="1440" w:header="720" w:footer="720" w:gutter="0"/>
      <w:pgNumType w:start="1"/>
      <w:cols w:space="1701"/>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an Esteban Martinez Ruiz" w:date="1969-12-31T19:00:00Z" w:initials="">
    <w:p w14:paraId="0000000F" w14:textId="0000000F" w:rsidR="00826822" w:rsidRDefault="00522397">
      <w:pPr>
        <w:spacing w:line="240" w:lineRule="auto"/>
      </w:pPr>
      <w:r>
        <w:t>Aprobado. JEMR</w:t>
      </w:r>
    </w:p>
  </w:comment>
  <w:comment w:id="1" w:author="Ingrid Carolina Silva Rodríguez" w:date="1969-12-31T19:00:00Z" w:initials="">
    <w:p w14:paraId="0000000E" w14:textId="0000000E" w:rsidR="00826822" w:rsidRDefault="00522397">
      <w:pPr>
        <w:spacing w:line="240" w:lineRule="auto"/>
      </w:pPr>
      <w:r>
        <w:t>Aprobado</w:t>
      </w:r>
    </w:p>
  </w:comment>
  <w:comment w:id="2" w:author="Claudia Fabiola Montoya Campos" w:date="1969-12-31T19:00:00Z" w:initials="">
    <w:p w14:paraId="0000000C" w14:textId="0000000C" w:rsidR="00826822" w:rsidRDefault="00522397">
      <w:pPr>
        <w:spacing w:line="240" w:lineRule="auto"/>
      </w:pPr>
      <w:r>
        <w:t xml:space="preserve">@jlvasquez@movilidadbogota.gov.co   Por favor </w:t>
      </w:r>
      <w:proofErr w:type="spellStart"/>
      <w:r>
        <w:t>vb</w:t>
      </w:r>
      <w:proofErr w:type="spellEnd"/>
    </w:p>
    <w:p w14:paraId="0000000D" w14:textId="0000000D" w:rsidR="00826822" w:rsidRPr="007329C3" w:rsidRDefault="00522397">
      <w:pPr>
        <w:spacing w:line="240" w:lineRule="auto"/>
        <w:rPr>
          <w:lang w:val="en-US"/>
        </w:rPr>
      </w:pPr>
      <w:r w:rsidRPr="007329C3">
        <w:rPr>
          <w:lang w:val="en-US"/>
        </w:rPr>
        <w:t>_Assigned to Jonny Leonardo Vasquez Escobar_</w:t>
      </w:r>
    </w:p>
  </w:comment>
  <w:comment w:id="3" w:author="Jonny Leonardo Vasquez Escobar" w:date="1969-12-31T19:00:00Z" w:initials="">
    <w:p w14:paraId="0000000B" w14:textId="0000000B" w:rsidR="00826822" w:rsidRDefault="00522397">
      <w:pPr>
        <w:spacing w:line="240" w:lineRule="auto"/>
      </w:pPr>
      <w:r>
        <w:t>Ok</w:t>
      </w:r>
    </w:p>
  </w:comment>
  <w:comment w:id="4" w:author="Claudia Fabiola Montoya Campos" w:date="1969-12-31T19:00:00Z" w:initials="">
    <w:p w14:paraId="0000000A" w14:textId="0000000A" w:rsidR="00826822" w:rsidRDefault="00522397">
      <w:pPr>
        <w:spacing w:line="240" w:lineRule="auto"/>
      </w:pPr>
      <w:r>
        <w:t>Revisado</w:t>
      </w:r>
    </w:p>
  </w:comment>
  <w:comment w:id="5" w:author="Lina Marcela Quiñones Sanchez" w:date="1969-12-31T19:00:00Z" w:initials="">
    <w:p w14:paraId="00000009" w14:textId="00000009" w:rsidR="00826822" w:rsidRDefault="00522397">
      <w:pPr>
        <w:spacing w:line="240" w:lineRule="auto"/>
      </w:pPr>
      <w:proofErr w:type="spellStart"/>
      <w:r>
        <w:t>VoBo</w:t>
      </w:r>
      <w:proofErr w:type="spellEnd"/>
    </w:p>
  </w:comment>
  <w:comment w:id="6" w:author="Javier Hernández" w:date="1969-12-31T19:00:00Z" w:initials="">
    <w:p w14:paraId="00000008" w14:textId="00000008" w:rsidR="00826822" w:rsidRDefault="00522397">
      <w:pPr>
        <w:spacing w:line="240" w:lineRule="auto"/>
      </w:pPr>
      <w:r>
        <w:t>VoBo20102021</w:t>
      </w:r>
    </w:p>
  </w:comment>
  <w:comment w:id="7" w:author="Jenny Abril Forero" w:date="1969-12-31T19:00:00Z" w:initials="">
    <w:p w14:paraId="00000007" w14:textId="00000007" w:rsidR="00826822" w:rsidRDefault="00522397">
      <w:pPr>
        <w:spacing w:line="240" w:lineRule="auto"/>
      </w:pPr>
      <w:r>
        <w:t>Revisado</w:t>
      </w:r>
    </w:p>
  </w:comment>
  <w:comment w:id="8" w:author="Gina Astrid Salazar Landinez" w:date="1969-12-31T19:00:00Z" w:initials="">
    <w:p w14:paraId="00000006" w14:textId="00000006" w:rsidR="00826822" w:rsidRDefault="00522397">
      <w:pPr>
        <w:spacing w:line="240" w:lineRule="auto"/>
      </w:pPr>
      <w:r>
        <w:t>Revisado</w:t>
      </w:r>
    </w:p>
  </w:comment>
  <w:comment w:id="9" w:author="Lina Marcela Henao Martínez" w:date="1969-12-31T19:00:00Z" w:initials="">
    <w:p w14:paraId="00000005" w14:textId="00000005" w:rsidR="00826822" w:rsidRDefault="00522397">
      <w:pPr>
        <w:spacing w:line="240" w:lineRule="auto"/>
      </w:pPr>
      <w:proofErr w:type="spellStart"/>
      <w:r>
        <w:t>VoBo</w:t>
      </w:r>
      <w:proofErr w:type="spellEnd"/>
      <w:r>
        <w:t xml:space="preserve"> 20/10/2021</w:t>
      </w:r>
    </w:p>
  </w:comment>
  <w:comment w:id="10" w:author="Claudia Fabiola Montoya Campos" w:date="1969-12-31T19:00:00Z" w:initials="">
    <w:p w14:paraId="00000003" w14:textId="00000003" w:rsidR="00826822" w:rsidRDefault="00522397">
      <w:pPr>
        <w:spacing w:line="240" w:lineRule="auto"/>
      </w:pPr>
      <w:r>
        <w:t xml:space="preserve">@amanaya@movilidadbogota.gov.co   Por favor </w:t>
      </w:r>
      <w:proofErr w:type="spellStart"/>
      <w:r>
        <w:t>vb</w:t>
      </w:r>
      <w:proofErr w:type="spellEnd"/>
    </w:p>
    <w:p w14:paraId="00000004" w14:textId="00000004" w:rsidR="00826822" w:rsidRPr="007329C3" w:rsidRDefault="00522397">
      <w:pPr>
        <w:spacing w:line="240" w:lineRule="auto"/>
        <w:rPr>
          <w:lang w:val="en-US"/>
        </w:rPr>
      </w:pPr>
      <w:r w:rsidRPr="007329C3">
        <w:rPr>
          <w:lang w:val="en-US"/>
        </w:rPr>
        <w:t>_Assigned to Alan Martin Anaya Ospino_</w:t>
      </w:r>
    </w:p>
  </w:comment>
  <w:comment w:id="11" w:author="Sandra Raquel Vega Reyes" w:date="1969-12-31T19:00:00Z" w:initials="">
    <w:p w14:paraId="00000002" w14:textId="00000002" w:rsidR="00826822" w:rsidRDefault="00522397">
      <w:pPr>
        <w:spacing w:line="240" w:lineRule="auto"/>
      </w:pPr>
      <w:proofErr w:type="spellStart"/>
      <w:r>
        <w:t>VoBo</w:t>
      </w:r>
      <w:proofErr w:type="spellEnd"/>
      <w:r>
        <w:t>. SRVR</w:t>
      </w:r>
    </w:p>
  </w:comment>
  <w:comment w:id="12" w:author="Sandra Milena Calderón Rodriguez" w:date="1969-12-31T19:00:00Z" w:initials="">
    <w:p w14:paraId="00000001" w14:textId="00000001" w:rsidR="00826822" w:rsidRDefault="00522397">
      <w:pPr>
        <w:spacing w:line="240" w:lineRule="auto"/>
      </w:pPr>
      <w:r>
        <w:t>VB SMCR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F" w15:done="0"/>
  <w15:commentEx w15:paraId="0000000E" w15:done="0"/>
  <w15:commentEx w15:paraId="0000000D" w15:done="0"/>
  <w15:commentEx w15:paraId="0000000B" w15:done="0"/>
  <w15:commentEx w15:paraId="0000000A" w15:done="0"/>
  <w15:commentEx w15:paraId="00000009" w15:done="0"/>
  <w15:commentEx w15:paraId="00000008" w15:done="0"/>
  <w15:commentEx w15:paraId="00000007" w15:done="0"/>
  <w15:commentEx w15:paraId="00000006" w15:done="0"/>
  <w15:commentEx w15:paraId="00000005" w15:done="0"/>
  <w15:commentEx w15:paraId="00000004" w15:done="0"/>
  <w15:commentEx w15:paraId="00000002" w15:done="0"/>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155719" w16cex:dateUtc="1970-01-01T00:00:00Z"/>
  <w16cex:commentExtensible w16cex:durableId="4CFC9229" w16cex:dateUtc="1970-01-01T00:00:00Z"/>
  <w16cex:commentExtensible w16cex:durableId="6A0D3BBF" w16cex:dateUtc="1970-01-01T00:00:00Z"/>
  <w16cex:commentExtensible w16cex:durableId="0E440F51" w16cex:dateUtc="1970-01-01T00:00:00Z"/>
  <w16cex:commentExtensible w16cex:durableId="403BAC1D" w16cex:dateUtc="1970-01-01T00:00:00Z"/>
  <w16cex:commentExtensible w16cex:durableId="61A80D12" w16cex:dateUtc="1970-01-01T00:00:00Z"/>
  <w16cex:commentExtensible w16cex:durableId="37B6C92D" w16cex:dateUtc="1970-01-01T00:00:00Z"/>
  <w16cex:commentExtensible w16cex:durableId="6526814C" w16cex:dateUtc="1970-01-01T00:00:00Z"/>
  <w16cex:commentExtensible w16cex:durableId="544DAA77" w16cex:dateUtc="1970-01-01T00:00:00Z"/>
  <w16cex:commentExtensible w16cex:durableId="3FA852B7" w16cex:dateUtc="1970-01-01T00:00:00Z"/>
  <w16cex:commentExtensible w16cex:durableId="364E59E8" w16cex:dateUtc="1970-01-01T00:00:00Z"/>
  <w16cex:commentExtensible w16cex:durableId="0CF25679" w16cex:dateUtc="1970-01-01T00:00:00Z"/>
  <w16cex:commentExtensible w16cex:durableId="4C7D022E" w16cex:dateUtc="1970-01-01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F" w16cid:durableId="31155719"/>
  <w16cid:commentId w16cid:paraId="0000000E" w16cid:durableId="4CFC9229"/>
  <w16cid:commentId w16cid:paraId="0000000D" w16cid:durableId="6A0D3BBF"/>
  <w16cid:commentId w16cid:paraId="0000000B" w16cid:durableId="0E440F51"/>
  <w16cid:commentId w16cid:paraId="0000000A" w16cid:durableId="403BAC1D"/>
  <w16cid:commentId w16cid:paraId="00000009" w16cid:durableId="61A80D12"/>
  <w16cid:commentId w16cid:paraId="00000008" w16cid:durableId="37B6C92D"/>
  <w16cid:commentId w16cid:paraId="00000007" w16cid:durableId="6526814C"/>
  <w16cid:commentId w16cid:paraId="00000006" w16cid:durableId="544DAA77"/>
  <w16cid:commentId w16cid:paraId="00000005" w16cid:durableId="3FA852B7"/>
  <w16cid:commentId w16cid:paraId="00000004" w16cid:durableId="364E59E8"/>
  <w16cid:commentId w16cid:paraId="00000002" w16cid:durableId="0CF25679"/>
  <w16cid:commentId w16cid:paraId="00000001" w16cid:durableId="4C7D0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592C" w14:textId="77777777" w:rsidR="00522397" w:rsidRDefault="00522397">
      <w:pPr>
        <w:spacing w:line="240" w:lineRule="auto"/>
      </w:pPr>
      <w:r>
        <w:separator/>
      </w:r>
    </w:p>
  </w:endnote>
  <w:endnote w:type="continuationSeparator" w:id="0">
    <w:p w14:paraId="1E3E848D" w14:textId="77777777" w:rsidR="00522397" w:rsidRDefault="00522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DB9F" w14:textId="77777777" w:rsidR="00826822" w:rsidRDefault="00826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0774" w14:textId="77777777" w:rsidR="00522397" w:rsidRDefault="00522397">
      <w:pPr>
        <w:spacing w:line="240" w:lineRule="auto"/>
      </w:pPr>
      <w:r>
        <w:separator/>
      </w:r>
    </w:p>
  </w:footnote>
  <w:footnote w:type="continuationSeparator" w:id="0">
    <w:p w14:paraId="2E1938B8" w14:textId="77777777" w:rsidR="00522397" w:rsidRDefault="00522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B357" w14:textId="77777777" w:rsidR="00826822" w:rsidRDefault="00522397">
    <w:r>
      <w:rPr>
        <w:noProof/>
      </w:rPr>
      <mc:AlternateContent>
        <mc:Choice Requires="wpg">
          <w:drawing>
            <wp:anchor distT="0" distB="0" distL="0" distR="0" simplePos="0" relativeHeight="251658240" behindDoc="0" locked="0" layoutInCell="1" allowOverlap="1" wp14:anchorId="19101954" wp14:editId="19A878C5">
              <wp:simplePos x="0" y="0"/>
              <wp:positionH relativeFrom="column">
                <wp:posOffset>2133600</wp:posOffset>
              </wp:positionH>
              <wp:positionV relativeFrom="paragraph">
                <wp:posOffset>-457199</wp:posOffset>
              </wp:positionV>
              <wp:extent cx="1371600" cy="14147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a:srcRect l="40809" r="41420"/>
                      <a:stretch/>
                    </pic:blipFill>
                    <pic:spPr bwMode="auto">
                      <a:xfrm>
                        <a:off x="0" y="0"/>
                        <a:ext cx="1371600" cy="1414780"/>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0;o:allowoverlap:true;o:allowincell:true;mso-position-horizontal-relative:text;margin-left:168.0pt;mso-position-horizontal:absolute;mso-position-vertical-relative:text;margin-top:-36.0pt;mso-position-vertical:absolute;width:108.0pt;height:111.4pt;">
              <v:path textboxrect="0,0,0,0"/>
              <v:imagedata r:id="rId2" o:title=""/>
            </v:shape>
          </w:pict>
        </mc:Fallback>
      </mc:AlternateContent>
    </w:r>
  </w:p>
  <w:p w14:paraId="2203FBAE" w14:textId="77777777" w:rsidR="00826822" w:rsidRDefault="00826822">
    <w:pPr>
      <w:jc w:val="center"/>
    </w:pPr>
  </w:p>
  <w:p w14:paraId="0DDB0B58" w14:textId="77777777" w:rsidR="00826822" w:rsidRDefault="00826822">
    <w:pPr>
      <w:jc w:val="center"/>
    </w:pPr>
  </w:p>
  <w:p w14:paraId="274EED3C" w14:textId="77777777" w:rsidR="00826822" w:rsidRDefault="00826822">
    <w:pPr>
      <w:jc w:val="center"/>
    </w:pPr>
  </w:p>
  <w:p w14:paraId="19EFEE77" w14:textId="77777777" w:rsidR="00826822" w:rsidRDefault="00826822">
    <w:pPr>
      <w:jc w:val="center"/>
    </w:pPr>
  </w:p>
  <w:p w14:paraId="249C12A4" w14:textId="77777777" w:rsidR="00826822" w:rsidRDefault="00522397">
    <w:pPr>
      <w:tabs>
        <w:tab w:val="left" w:pos="2720"/>
        <w:tab w:val="center" w:pos="4464"/>
      </w:tabs>
      <w:spacing w:after="200" w:line="240" w:lineRule="auto"/>
      <w:jc w:val="center"/>
      <w:rPr>
        <w:rFonts w:ascii="Times New Roman" w:eastAsia="Times New Roman" w:hAnsi="Times New Roman" w:cs="Times New Roman"/>
      </w:rPr>
    </w:pPr>
    <w:r>
      <w:rPr>
        <w:rFonts w:ascii="Times New Roman" w:eastAsia="Times New Roman" w:hAnsi="Times New Roman" w:cs="Times New Roman"/>
        <w:b/>
      </w:rPr>
      <w:t>RESOLUCIÓN N°                   DE 2021</w:t>
    </w:r>
  </w:p>
  <w:p w14:paraId="1283D507" w14:textId="77777777" w:rsidR="00826822" w:rsidRDefault="00522397">
    <w:pPr>
      <w:jc w:val="center"/>
      <w:rPr>
        <w:rFonts w:ascii="Times New Roman" w:eastAsia="Times New Roman" w:hAnsi="Times New Roman" w:cs="Times New Roman"/>
        <w:b/>
        <w:i/>
      </w:rPr>
    </w:pPr>
    <w:r>
      <w:rPr>
        <w:rFonts w:ascii="Times New Roman" w:eastAsia="Times New Roman" w:hAnsi="Times New Roman" w:cs="Times New Roman"/>
        <w:b/>
        <w:i/>
      </w:rPr>
      <w:t xml:space="preserve">“Por medio de la cual se define el valor de la tarifa para el estacionamiento en vía” </w:t>
    </w:r>
  </w:p>
  <w:p w14:paraId="669030E7" w14:textId="77777777" w:rsidR="00826822" w:rsidRDefault="00826822">
    <w:pPr>
      <w:jc w:val="center"/>
      <w:rPr>
        <w:rFonts w:ascii="Times New Roman" w:eastAsia="Times New Roman" w:hAnsi="Times New Roman" w:cs="Times New Roman"/>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22"/>
    <w:rsid w:val="00522397"/>
    <w:rsid w:val="0059201C"/>
    <w:rsid w:val="007329C3"/>
    <w:rsid w:val="00826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614F"/>
  <w15:docId w15:val="{A8ECEA59-D7B2-2C4F-8BC9-7CC42E39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pPr>
      <w:keepNext/>
      <w:keepLines/>
      <w:spacing w:before="400" w:after="120"/>
      <w:outlineLvl w:val="0"/>
    </w:pPr>
    <w:rPr>
      <w:sz w:val="40"/>
      <w:szCs w:val="40"/>
    </w:rPr>
  </w:style>
  <w:style w:type="paragraph" w:styleId="Ttulo2">
    <w:name w:val="heading 2"/>
    <w:basedOn w:val="Normal"/>
    <w:next w:val="Normal"/>
    <w:link w:val="Ttulo2Car"/>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link w:val="Ttulo4Car"/>
    <w:pPr>
      <w:keepNext/>
      <w:keepLines/>
      <w:spacing w:before="280" w:after="80"/>
      <w:outlineLvl w:val="3"/>
    </w:pPr>
    <w:rPr>
      <w:color w:val="666666"/>
      <w:sz w:val="24"/>
      <w:szCs w:val="24"/>
    </w:rPr>
  </w:style>
  <w:style w:type="paragraph" w:styleId="Ttulo5">
    <w:name w:val="heading 5"/>
    <w:basedOn w:val="Normal"/>
    <w:next w:val="Normal"/>
    <w:link w:val="Ttulo5Car"/>
    <w:pPr>
      <w:keepNext/>
      <w:keepLines/>
      <w:spacing w:before="240" w:after="80"/>
      <w:outlineLvl w:val="4"/>
    </w:pPr>
    <w:rPr>
      <w:color w:val="666666"/>
    </w:rPr>
  </w:style>
  <w:style w:type="paragraph" w:styleId="Ttulo6">
    <w:name w:val="heading 6"/>
    <w:basedOn w:val="Normal"/>
    <w:next w:val="Normal"/>
    <w:link w:val="Ttulo6Car"/>
    <w:pPr>
      <w:keepNext/>
      <w:keepLines/>
      <w:spacing w:before="240" w:after="80"/>
      <w:outlineLvl w:val="5"/>
    </w:pPr>
    <w:rPr>
      <w:i/>
      <w:color w:val="666666"/>
    </w:rPr>
  </w:style>
  <w:style w:type="paragraph" w:styleId="Ttulo7">
    <w:name w:val="heading 7"/>
    <w:basedOn w:val="Normal"/>
    <w:next w:val="Normal"/>
    <w:link w:val="Ttulo7Car"/>
    <w:uiPriority w:val="9"/>
    <w:unhideWhenUsed/>
    <w:qFormat/>
    <w:pPr>
      <w:keepNext/>
      <w:keepLines/>
      <w:spacing w:before="320" w:after="200"/>
      <w:outlineLvl w:val="6"/>
    </w:pPr>
    <w:rPr>
      <w:b/>
      <w:bCs/>
      <w:i/>
      <w:iCs/>
    </w:rPr>
  </w:style>
  <w:style w:type="paragraph" w:styleId="Ttulo8">
    <w:name w:val="heading 8"/>
    <w:basedOn w:val="Normal"/>
    <w:next w:val="Normal"/>
    <w:link w:val="Ttulo8Car"/>
    <w:uiPriority w:val="9"/>
    <w:unhideWhenUsed/>
    <w:qFormat/>
    <w:pPr>
      <w:keepNext/>
      <w:keepLines/>
      <w:spacing w:before="320" w:after="200"/>
      <w:outlineLvl w:val="7"/>
    </w:pPr>
    <w:rPr>
      <w:i/>
      <w:iCs/>
    </w:rPr>
  </w:style>
  <w:style w:type="paragraph" w:styleId="Ttulo9">
    <w:name w:val="heading 9"/>
    <w:basedOn w:val="Normal"/>
    <w:next w:val="Normal"/>
    <w:link w:val="Ttulo9Car"/>
    <w:uiPriority w:val="9"/>
    <w:unhideWhenUsed/>
    <w:qFormat/>
    <w:pPr>
      <w:keepNext/>
      <w:keepLines/>
      <w:spacing w:before="320" w:after="200"/>
      <w:outlineLvl w:val="8"/>
    </w:pPr>
    <w:rPr>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sz w:val="40"/>
      <w:szCs w:val="40"/>
    </w:rPr>
  </w:style>
  <w:style w:type="character" w:customStyle="1" w:styleId="Ttulo2Car">
    <w:name w:val="Título 2 Car"/>
    <w:link w:val="Ttulo2"/>
    <w:uiPriority w:val="9"/>
    <w:rPr>
      <w:rFonts w:ascii="Arial" w:eastAsia="Arial" w:hAnsi="Arial" w:cs="Arial"/>
      <w:sz w:val="34"/>
    </w:rPr>
  </w:style>
  <w:style w:type="character" w:customStyle="1" w:styleId="Ttulo3Car">
    <w:name w:val="Título 3 Car"/>
    <w:link w:val="Ttulo3"/>
    <w:uiPriority w:val="9"/>
    <w:rPr>
      <w:rFonts w:ascii="Arial" w:eastAsia="Arial" w:hAnsi="Arial" w:cs="Arial"/>
      <w:sz w:val="30"/>
      <w:szCs w:val="30"/>
    </w:rPr>
  </w:style>
  <w:style w:type="character" w:customStyle="1" w:styleId="Ttulo4Car">
    <w:name w:val="Título 4 Car"/>
    <w:link w:val="Ttulo4"/>
    <w:uiPriority w:val="9"/>
    <w:rPr>
      <w:rFonts w:ascii="Arial" w:eastAsia="Arial" w:hAnsi="Arial" w:cs="Arial"/>
      <w:b/>
      <w:bCs/>
      <w:sz w:val="26"/>
      <w:szCs w:val="26"/>
    </w:rPr>
  </w:style>
  <w:style w:type="character" w:customStyle="1" w:styleId="Ttulo5Car">
    <w:name w:val="Título 5 Car"/>
    <w:link w:val="Ttulo5"/>
    <w:uiPriority w:val="9"/>
    <w:rPr>
      <w:rFonts w:ascii="Arial" w:eastAsia="Arial" w:hAnsi="Arial" w:cs="Arial"/>
      <w:b/>
      <w:bCs/>
      <w:sz w:val="24"/>
      <w:szCs w:val="24"/>
    </w:rPr>
  </w:style>
  <w:style w:type="character" w:customStyle="1" w:styleId="Ttulo6Car">
    <w:name w:val="Título 6 Car"/>
    <w:link w:val="Ttulo6"/>
    <w:uiPriority w:val="9"/>
    <w:rPr>
      <w:rFonts w:ascii="Arial" w:eastAsia="Arial" w:hAnsi="Arial" w:cs="Arial"/>
      <w:b/>
      <w:bCs/>
      <w:sz w:val="22"/>
      <w:szCs w:val="22"/>
    </w:rPr>
  </w:style>
  <w:style w:type="character" w:customStyle="1" w:styleId="Ttulo7Car">
    <w:name w:val="Título 7 Car"/>
    <w:link w:val="Ttulo7"/>
    <w:uiPriority w:val="9"/>
    <w:rPr>
      <w:rFonts w:ascii="Arial" w:eastAsia="Arial" w:hAnsi="Arial" w:cs="Arial"/>
      <w:b/>
      <w:bCs/>
      <w:i/>
      <w:iCs/>
      <w:sz w:val="22"/>
      <w:szCs w:val="22"/>
    </w:rPr>
  </w:style>
  <w:style w:type="character" w:customStyle="1" w:styleId="Ttulo8Car">
    <w:name w:val="Título 8 Car"/>
    <w:link w:val="Ttulo8"/>
    <w:uiPriority w:val="9"/>
    <w:rPr>
      <w:rFonts w:ascii="Arial" w:eastAsia="Arial" w:hAnsi="Arial" w:cs="Arial"/>
      <w:i/>
      <w:iCs/>
      <w:sz w:val="22"/>
      <w:szCs w:val="22"/>
    </w:rPr>
  </w:style>
  <w:style w:type="character" w:customStyle="1" w:styleId="Ttulo9Car">
    <w:name w:val="Título 9 Ca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pPr>
      <w:spacing w:line="240" w:lineRule="auto"/>
    </w:pPr>
  </w:style>
  <w:style w:type="character" w:customStyle="1" w:styleId="TtuloCar">
    <w:name w:val="Título Car"/>
    <w:link w:val="Ttulo"/>
    <w:uiPriority w:val="10"/>
    <w:rPr>
      <w:sz w:val="48"/>
      <w:szCs w:val="48"/>
    </w:rPr>
  </w:style>
  <w:style w:type="character" w:customStyle="1" w:styleId="SubttuloCar">
    <w:name w:val="Subtítulo Ca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destacadaCar">
    <w:name w:val="Cita destacada Car"/>
    <w:link w:val="Citadestacada"/>
    <w:uiPriority w:val="30"/>
    <w:rPr>
      <w:i/>
    </w:rPr>
  </w:style>
  <w:style w:type="paragraph" w:styleId="Encabezado">
    <w:name w:val="header"/>
    <w:basedOn w:val="Normal"/>
    <w:link w:val="EncabezadoCar"/>
    <w:uiPriority w:val="99"/>
    <w:unhideWhenUsed/>
    <w:pPr>
      <w:tabs>
        <w:tab w:val="center" w:pos="7143"/>
        <w:tab w:val="right" w:pos="14287"/>
      </w:tabs>
      <w:spacing w:line="240" w:lineRule="auto"/>
    </w:pPr>
  </w:style>
  <w:style w:type="character" w:customStyle="1" w:styleId="EncabezadoCar">
    <w:name w:val="Encabezado Car"/>
    <w:link w:val="Encabezado"/>
    <w:uiPriority w:val="99"/>
  </w:style>
  <w:style w:type="paragraph" w:styleId="Piedepgina">
    <w:name w:val="footer"/>
    <w:basedOn w:val="Normal"/>
    <w:link w:val="PiedepginaCar"/>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Descripcin">
    <w:name w:val="caption"/>
    <w:basedOn w:val="Normal"/>
    <w:next w:val="Normal"/>
    <w:uiPriority w:val="35"/>
    <w:semiHidden/>
    <w:unhideWhenUsed/>
    <w:qFormat/>
    <w:rPr>
      <w:b/>
      <w:bCs/>
      <w:color w:val="4F81BD" w:themeColor="accent1"/>
      <w:sz w:val="18"/>
      <w:szCs w:val="18"/>
    </w:rPr>
  </w:style>
  <w:style w:type="character" w:customStyle="1" w:styleId="PiedepginaCar">
    <w:name w:val="Pie de página Car"/>
    <w:link w:val="Piedepgina"/>
    <w:uiPriority w:val="99"/>
  </w:style>
  <w:style w:type="table" w:styleId="Tablaconcuadrcula">
    <w:name w:val="Table Grid"/>
    <w:basedOn w:val="Tabla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basedOn w:val="Tabla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anormal4">
    <w:name w:val="Plain Table 4"/>
    <w:basedOn w:val="Tabla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anormal5">
    <w:name w:val="Plain Table 5"/>
    <w:basedOn w:val="Tabla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aconcuadrcula1clara">
    <w:name w:val="Grid Table 1 Light"/>
    <w:basedOn w:val="Tabla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a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Tabla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Tabla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Tabla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Tabla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Tabla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ladecuadrcula3">
    <w:name w:val="Grid Table 3"/>
    <w:basedOn w:val="Tabla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a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Tabla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Tabla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Tabla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Tabla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Tabla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ladecuadrcula4">
    <w:name w:val="Grid Table 4"/>
    <w:basedOn w:val="Tabla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a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Tabla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Tabla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Tabla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Tabla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Tabla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laconcuadrcula5oscura">
    <w:name w:val="Grid Table 5 Dark"/>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basedOn w:val="Tabla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basedOn w:val="Tabla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a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Tabla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Tabla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Tabla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Tabla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Tabla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ladelista3">
    <w:name w:val="List Table 3"/>
    <w:basedOn w:val="Tabla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a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Tabla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Tabla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Tabla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Tabla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Tabla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ladelista5oscura">
    <w:name w:val="List Table 5 Dark"/>
    <w:basedOn w:val="Tabla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a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Tabla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Tabla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Tabla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Tabla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Tabla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basedOn w:val="Tabla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Tabla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Tablanormal"/>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anormal"/>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Tablanormal"/>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Tablanormal"/>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Tablanormal"/>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Tablanormal"/>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Tablanormal"/>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Tabla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nculo">
    <w:name w:val="Hyperlink"/>
    <w:uiPriority w:val="99"/>
    <w:unhideWhenUsed/>
    <w:rPr>
      <w:color w:val="0000FF" w:themeColor="hyperlink"/>
      <w:u w:val="single"/>
    </w:r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uiPriority w:val="99"/>
    <w:unhideWhenUsed/>
    <w:rPr>
      <w:vertAlign w:val="superscript"/>
    </w:rPr>
  </w:style>
  <w:style w:type="paragraph" w:styleId="Textonotaalfinal">
    <w:name w:val="endnote text"/>
    <w:basedOn w:val="Normal"/>
    <w:link w:val="TextonotaalfinalCar"/>
    <w:uiPriority w:val="99"/>
    <w:semiHidden/>
    <w:unhideWhenUsed/>
    <w:pPr>
      <w:spacing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after="60"/>
    </w:pPr>
    <w:rPr>
      <w:sz w:val="52"/>
      <w:szCs w:val="52"/>
    </w:rPr>
  </w:style>
  <w:style w:type="paragraph" w:styleId="Subttulo">
    <w:name w:val="Subtitle"/>
    <w:basedOn w:val="Normal"/>
    <w:next w:val="Normal"/>
    <w:link w:val="SubttuloCar"/>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bog.secretariajuridica.gov.co/regimen-legal-publi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albog.secretariajuridica.gov.co/regimen-legal-publico%23/acto-admin-publico"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1833</Words>
  <Characters>10082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Galán</cp:lastModifiedBy>
  <cp:revision>2</cp:revision>
  <dcterms:created xsi:type="dcterms:W3CDTF">2021-10-25T20:15:00Z</dcterms:created>
  <dcterms:modified xsi:type="dcterms:W3CDTF">2021-10-25T23:11:00Z</dcterms:modified>
</cp:coreProperties>
</file>